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E13CB" w14:textId="77777777" w:rsidR="009B4BBD" w:rsidRPr="009B4BBD" w:rsidRDefault="009B4BBD" w:rsidP="009B4BBD">
      <w:pPr>
        <w:rPr>
          <w:b/>
          <w:bCs/>
        </w:rPr>
      </w:pPr>
      <w:r w:rsidRPr="009B4BBD">
        <w:rPr>
          <w:b/>
          <w:bCs/>
        </w:rPr>
        <w:t>Reviewer #1 – Overview Response</w:t>
      </w:r>
    </w:p>
    <w:p w14:paraId="2C8A0746" w14:textId="77777777" w:rsidR="009B4BBD" w:rsidRPr="009B4BBD" w:rsidRDefault="009B4BBD" w:rsidP="009B4BBD">
      <w:r w:rsidRPr="009B4BBD">
        <w:t xml:space="preserve">We sincerely thank Reviewer #1 for the exceptionally detailed and constructive feedback, which greatly strengthened the clarity, reproducibility, and scientific depth of this manuscript. The reviewer’s comments led to substantive revisions across all sections—particularly in correcting the m/z polarity convention, expanding methodological transparency, refining dataset description and preprocessing detail, and improving the scientific interpretation of results. The Methods section now provides full parameterization of all models, explicit cross-validation and partitioning procedures, and a complete table of class distributions to ensure reproducibility. The Results and Discussion sections were rewritten to include deeper interpretation of feature-importance patterns, clarification of minor performance differences, and expanded discussion of their atmospheric relevance. Collectively, these revisions bring the manuscript fully in line with </w:t>
      </w:r>
      <w:r w:rsidRPr="009B4BBD">
        <w:rPr>
          <w:i/>
          <w:iCs/>
        </w:rPr>
        <w:t>Atmospheric Measurement Techniques</w:t>
      </w:r>
      <w:r w:rsidRPr="009B4BBD">
        <w:t xml:space="preserve"> standards while preserving its core contribution: demonstrating how semi-supervised and deep-learning frameworks can enhance the interpretability and robustness of SPMS aerosol classification. We are grateful for the reviewer’s careful evaluation and for the opportunity to revise the work into its current, substantially improved form.</w:t>
      </w:r>
    </w:p>
    <w:p w14:paraId="29138A42" w14:textId="66881D6B" w:rsidR="001E5904" w:rsidRPr="001E5904" w:rsidRDefault="001E5904" w:rsidP="001E5904">
      <w:pPr>
        <w:rPr>
          <w:b/>
          <w:bCs/>
        </w:rPr>
      </w:pPr>
      <w:r w:rsidRPr="001E5904">
        <w:rPr>
          <w:b/>
          <w:bCs/>
        </w:rPr>
        <w:t xml:space="preserve">General Comments: </w:t>
      </w:r>
    </w:p>
    <w:p w14:paraId="79AB2A92" w14:textId="23FCDA83" w:rsidR="00694780" w:rsidRDefault="001E5904" w:rsidP="001E5904">
      <w:pPr>
        <w:rPr>
          <w:b/>
          <w:bCs/>
          <w:color w:val="3A7C22" w:themeColor="accent6" w:themeShade="BF"/>
        </w:rPr>
      </w:pPr>
      <w:r>
        <w:rPr>
          <w:b/>
          <w:bCs/>
          <w:color w:val="3A7C22" w:themeColor="accent6" w:themeShade="BF"/>
        </w:rPr>
        <w:t xml:space="preserve">1) </w:t>
      </w:r>
      <w:r w:rsidRPr="001E5904">
        <w:rPr>
          <w:b/>
          <w:bCs/>
          <w:color w:val="3A7C22" w:themeColor="accent6" w:themeShade="BF"/>
        </w:rPr>
        <w:t xml:space="preserve">Chavez et al. investigated two supervised learning methods (Support Vector Machine and stacked autoencoder classifier) and two semi-supervised approaches based on these two approaches for the classification of SPMS data. All four models achieved classification </w:t>
      </w:r>
      <w:proofErr w:type="gramStart"/>
      <w:r w:rsidRPr="001E5904">
        <w:rPr>
          <w:b/>
          <w:bCs/>
          <w:color w:val="3A7C22" w:themeColor="accent6" w:themeShade="BF"/>
        </w:rPr>
        <w:t>accuracies</w:t>
      </w:r>
      <w:proofErr w:type="gramEnd"/>
      <w:r w:rsidRPr="001E5904">
        <w:rPr>
          <w:b/>
          <w:bCs/>
          <w:color w:val="3A7C22" w:themeColor="accent6" w:themeShade="BF"/>
        </w:rPr>
        <w:t xml:space="preserve"> above 90% for 20 classes. </w:t>
      </w:r>
      <w:r w:rsidR="00694780" w:rsidRPr="001E5904">
        <w:rPr>
          <w:b/>
          <w:bCs/>
          <w:color w:val="3A7C22" w:themeColor="accent6" w:themeShade="BF"/>
        </w:rPr>
        <w:t>Reviewer #1 Specific Comments:</w:t>
      </w:r>
    </w:p>
    <w:p w14:paraId="382D9FC1" w14:textId="63938E49" w:rsidR="00A13FC3" w:rsidRDefault="00A13FC3" w:rsidP="001E5904">
      <w:r w:rsidRPr="00A13FC3">
        <w:rPr>
          <w:b/>
          <w:bCs/>
        </w:rPr>
        <w:t>Author Response:</w:t>
      </w:r>
      <w:r w:rsidRPr="00A13FC3">
        <w:rPr>
          <w:b/>
          <w:bCs/>
          <w:color w:val="3A7C22" w:themeColor="accent6" w:themeShade="BF"/>
        </w:rPr>
        <w:br/>
      </w:r>
      <w:r w:rsidRPr="00A13FC3">
        <w:t xml:space="preserve">We appreciate this thoughtful recommendation and have expanded the </w:t>
      </w:r>
      <w:r w:rsidRPr="00A13FC3">
        <w:rPr>
          <w:i/>
          <w:iCs/>
        </w:rPr>
        <w:t>Discussion</w:t>
      </w:r>
      <w:r w:rsidRPr="00A13FC3">
        <w:t xml:space="preserve"> and </w:t>
      </w:r>
      <w:r w:rsidRPr="00A13FC3">
        <w:rPr>
          <w:i/>
          <w:iCs/>
        </w:rPr>
        <w:t>Conclusion</w:t>
      </w:r>
      <w:r w:rsidRPr="00A13FC3">
        <w:t xml:space="preserve"> sections accordingly. New text (lines XXX–XXX) clarifies that even modest metric differences—on the order of 1 %—have meaningful implications for atmospheric applications, particularly for compositionally rare but climatically important aerosols such as soot, feldspars, and bioaerosols. These improvements translate into enhanced reliability in detecting aerosol populations that influence cloud formation, radiative forcing, and heterogeneous chemistry. We further emphasize that the methodological advances demonstrated here, including the integration of semi-supervised deep learning with SPMS data, contribute to improving the fidelity of aerosol representation in atmospheric models.</w:t>
      </w:r>
    </w:p>
    <w:p w14:paraId="534319AD" w14:textId="67100939" w:rsidR="00DB71B3" w:rsidRPr="00A42D96" w:rsidRDefault="00DB71B3" w:rsidP="00DB71B3">
      <w:pPr>
        <w:rPr>
          <w:b/>
          <w:bCs/>
          <w:color w:val="275317" w:themeColor="accent6" w:themeShade="80"/>
        </w:rPr>
      </w:pPr>
      <w:r w:rsidRPr="00A42D96">
        <w:rPr>
          <w:b/>
          <w:bCs/>
          <w:color w:val="275317" w:themeColor="accent6" w:themeShade="80"/>
        </w:rPr>
        <w:t xml:space="preserve">2) The topic fits within the scope of AMT, but I believe the manuscript does not yet meet the journal’s quality standards. For example, the m/z values used for SPMS data </w:t>
      </w:r>
      <w:r w:rsidRPr="00A42D96">
        <w:rPr>
          <w:b/>
          <w:bCs/>
          <w:color w:val="275317" w:themeColor="accent6" w:themeShade="80"/>
        </w:rPr>
        <w:lastRenderedPageBreak/>
        <w:t xml:space="preserve">classification are negative, but they were incorrectly presented as positive values in </w:t>
      </w:r>
      <w:proofErr w:type="gramStart"/>
      <w:r w:rsidRPr="00A42D96">
        <w:rPr>
          <w:b/>
          <w:bCs/>
          <w:color w:val="275317" w:themeColor="accent6" w:themeShade="80"/>
        </w:rPr>
        <w:t>all of</w:t>
      </w:r>
      <w:proofErr w:type="gramEnd"/>
      <w:r w:rsidRPr="00A42D96">
        <w:rPr>
          <w:b/>
          <w:bCs/>
          <w:color w:val="275317" w:themeColor="accent6" w:themeShade="80"/>
        </w:rPr>
        <w:t xml:space="preserve"> the text and figures. The description of the methods is unclear, making it very difficult to reproduce the work from the text alone. The results section lacks reasonable interpretation, and moreover, two of the figures and the table present identical content. If the paper is to be accepted, these issues must be resolved prior to publication.</w:t>
      </w:r>
    </w:p>
    <w:p w14:paraId="124EDAD9" w14:textId="77777777" w:rsidR="00A42D96" w:rsidRPr="00A42D96" w:rsidRDefault="00A42D96" w:rsidP="00A42D96">
      <w:r w:rsidRPr="00A42D96">
        <w:rPr>
          <w:b/>
          <w:bCs/>
        </w:rPr>
        <w:t>Author Response:</w:t>
      </w:r>
      <w:r w:rsidRPr="00A42D96">
        <w:br/>
        <w:t>We thank the reviewer for this detailed and constructive feedback, which substantially improved the clarity and rigor of the manuscript. All concerns have been fully addressed as follows:</w:t>
      </w:r>
    </w:p>
    <w:p w14:paraId="762E8128" w14:textId="77777777" w:rsidR="00A42D96" w:rsidRPr="00A42D96" w:rsidRDefault="00A42D96" w:rsidP="00A42D96">
      <w:pPr>
        <w:numPr>
          <w:ilvl w:val="0"/>
          <w:numId w:val="30"/>
        </w:numPr>
      </w:pPr>
      <w:r w:rsidRPr="00A42D96">
        <w:rPr>
          <w:b/>
          <w:bCs/>
        </w:rPr>
        <w:t>Correction of m/z polarity:</w:t>
      </w:r>
      <w:r w:rsidRPr="00A42D96">
        <w:t xml:space="preserve"> All </w:t>
      </w:r>
      <w:r w:rsidRPr="00A42D96">
        <w:rPr>
          <w:i/>
          <w:iCs/>
        </w:rPr>
        <w:t>m/z</w:t>
      </w:r>
      <w:r w:rsidRPr="00A42D96">
        <w:t xml:space="preserve"> values have been updated to reflect the correct </w:t>
      </w:r>
      <w:r w:rsidRPr="00A42D96">
        <w:rPr>
          <w:b/>
          <w:bCs/>
        </w:rPr>
        <w:t>negative-ion polarity</w:t>
      </w:r>
      <w:r w:rsidRPr="00A42D96">
        <w:t xml:space="preserve"> throughout the text and in all figures and captions. The </w:t>
      </w:r>
      <w:r w:rsidRPr="00A42D96">
        <w:rPr>
          <w:i/>
          <w:iCs/>
        </w:rPr>
        <w:t>Methods</w:t>
      </w:r>
      <w:r w:rsidRPr="00A42D96">
        <w:t xml:space="preserve"> section now explicitly states that spectra were recorded in negative-ion mode.</w:t>
      </w:r>
    </w:p>
    <w:p w14:paraId="711DE2ED" w14:textId="77777777" w:rsidR="00A42D96" w:rsidRPr="00A42D96" w:rsidRDefault="00A42D96" w:rsidP="00A42D96">
      <w:pPr>
        <w:numPr>
          <w:ilvl w:val="0"/>
          <w:numId w:val="30"/>
        </w:numPr>
      </w:pPr>
      <w:r w:rsidRPr="00A42D96">
        <w:rPr>
          <w:b/>
          <w:bCs/>
        </w:rPr>
        <w:t>Enhanced methodological clarity and reproducibility:</w:t>
      </w:r>
      <w:r w:rsidRPr="00A42D96">
        <w:t xml:space="preserve"> The </w:t>
      </w:r>
      <w:r w:rsidRPr="00A42D96">
        <w:rPr>
          <w:i/>
          <w:iCs/>
        </w:rPr>
        <w:t>Methods</w:t>
      </w:r>
      <w:r w:rsidRPr="00A42D96">
        <w:t xml:space="preserve"> section has been extensively revised to include explicit details of data preprocessing (filtering, normalization), model architecture, parameter settings, cross-validation procedures, and reproducibility measures. All model hyperparameters and code descriptions are now summarized in </w:t>
      </w:r>
      <w:r w:rsidRPr="00A42D96">
        <w:rPr>
          <w:b/>
          <w:bCs/>
        </w:rPr>
        <w:t>Table S1</w:t>
      </w:r>
      <w:r w:rsidRPr="00A42D96">
        <w:t xml:space="preserve"> (Supplement).</w:t>
      </w:r>
    </w:p>
    <w:p w14:paraId="229780A1" w14:textId="77777777" w:rsidR="00A42D96" w:rsidRPr="00A42D96" w:rsidRDefault="00A42D96" w:rsidP="00A42D96">
      <w:pPr>
        <w:numPr>
          <w:ilvl w:val="0"/>
          <w:numId w:val="30"/>
        </w:numPr>
      </w:pPr>
      <w:r w:rsidRPr="00A42D96">
        <w:rPr>
          <w:b/>
          <w:bCs/>
        </w:rPr>
        <w:t>Removal of redundant content:</w:t>
      </w:r>
      <w:r w:rsidRPr="00A42D96">
        <w:t xml:space="preserve"> Figures 5 and 7, which previously duplicated Tables 2 and </w:t>
      </w:r>
      <w:proofErr w:type="gramStart"/>
      <w:r w:rsidRPr="00A42D96">
        <w:t>3,</w:t>
      </w:r>
      <w:proofErr w:type="gramEnd"/>
      <w:r w:rsidRPr="00A42D96">
        <w:t xml:space="preserve"> have been removed. Figure numbering and in-text references were updated accordingly to maintain consistency.</w:t>
      </w:r>
    </w:p>
    <w:p w14:paraId="292E74EF" w14:textId="77777777" w:rsidR="00A42D96" w:rsidRPr="00A42D96" w:rsidRDefault="00A42D96" w:rsidP="00A42D96">
      <w:pPr>
        <w:numPr>
          <w:ilvl w:val="0"/>
          <w:numId w:val="30"/>
        </w:numPr>
      </w:pPr>
      <w:r w:rsidRPr="00A42D96">
        <w:rPr>
          <w:b/>
          <w:bCs/>
        </w:rPr>
        <w:t>Expanded results interpretation:</w:t>
      </w:r>
      <w:r w:rsidRPr="00A42D96">
        <w:t xml:space="preserve"> The </w:t>
      </w:r>
      <w:r w:rsidRPr="00A42D96">
        <w:rPr>
          <w:i/>
          <w:iCs/>
        </w:rPr>
        <w:t>Results</w:t>
      </w:r>
      <w:r w:rsidRPr="00A42D96">
        <w:t xml:space="preserve"> and </w:t>
      </w:r>
      <w:r w:rsidRPr="00A42D96">
        <w:rPr>
          <w:i/>
          <w:iCs/>
        </w:rPr>
        <w:t>Discussion</w:t>
      </w:r>
      <w:r w:rsidRPr="00A42D96">
        <w:t xml:space="preserve"> sections were rewritten to provide a more comprehensive scientific interpretation of the classification outcomes, including new subsections </w:t>
      </w:r>
      <w:proofErr w:type="spellStart"/>
      <w:r w:rsidRPr="00A42D96">
        <w:t>on ion</w:t>
      </w:r>
      <w:proofErr w:type="spellEnd"/>
      <w:r w:rsidRPr="00A42D96">
        <w:t xml:space="preserve"> feature importance, model performance differences, and illustrative spectral examples of correct and incorrect classifications.</w:t>
      </w:r>
    </w:p>
    <w:p w14:paraId="7648C37F" w14:textId="77777777" w:rsidR="00A42D96" w:rsidRPr="00A42D96" w:rsidRDefault="00A42D96" w:rsidP="00A42D96">
      <w:pPr>
        <w:numPr>
          <w:ilvl w:val="0"/>
          <w:numId w:val="30"/>
        </w:numPr>
      </w:pPr>
      <w:r w:rsidRPr="00A42D96">
        <w:rPr>
          <w:b/>
          <w:bCs/>
        </w:rPr>
        <w:t>Improved broader context:</w:t>
      </w:r>
      <w:r w:rsidRPr="00A42D96">
        <w:t xml:space="preserve"> The </w:t>
      </w:r>
      <w:r w:rsidRPr="00A42D96">
        <w:rPr>
          <w:i/>
          <w:iCs/>
        </w:rPr>
        <w:t>Discussion</w:t>
      </w:r>
      <w:r w:rsidRPr="00A42D96">
        <w:t xml:space="preserve"> now explicitly connects the findings to atmospheric chemistry and physics, highlighting how improved single-particle classification supports aerosol source apportionment, radiative forcing assessments, and cloud-nucleation studies.</w:t>
      </w:r>
    </w:p>
    <w:p w14:paraId="6080D4B3" w14:textId="77777777" w:rsidR="00A42D96" w:rsidRPr="00A42D96" w:rsidRDefault="00A42D96" w:rsidP="00A42D96">
      <w:r w:rsidRPr="00A42D96">
        <w:t xml:space="preserve">These revisions collectively address all points raised and bring the manuscript fully in line with </w:t>
      </w:r>
      <w:r w:rsidRPr="00A42D96">
        <w:rPr>
          <w:i/>
          <w:iCs/>
        </w:rPr>
        <w:t>AMT</w:t>
      </w:r>
      <w:r w:rsidRPr="00A42D96">
        <w:t>’s quality and reproducibility standards.</w:t>
      </w:r>
    </w:p>
    <w:p w14:paraId="23BFE6E1" w14:textId="77777777" w:rsidR="00A42D96" w:rsidRPr="00A13FC3" w:rsidRDefault="00A42D96" w:rsidP="00DB71B3"/>
    <w:p w14:paraId="368D0F16" w14:textId="77777777" w:rsidR="00694780" w:rsidRPr="00694780" w:rsidRDefault="00694780" w:rsidP="00694780">
      <w:pPr>
        <w:rPr>
          <w:b/>
          <w:bCs/>
        </w:rPr>
      </w:pPr>
      <w:r w:rsidRPr="00694780">
        <w:rPr>
          <w:b/>
          <w:bCs/>
        </w:rPr>
        <w:lastRenderedPageBreak/>
        <w:t>Section Abstract Introduction</w:t>
      </w:r>
    </w:p>
    <w:p w14:paraId="3FE3EE88" w14:textId="5C889622" w:rsidR="005128C8" w:rsidRPr="00107325" w:rsidRDefault="00694780" w:rsidP="00694780">
      <w:pPr>
        <w:rPr>
          <w:b/>
          <w:bCs/>
          <w:color w:val="3A7C22" w:themeColor="accent6" w:themeShade="BF"/>
        </w:rPr>
      </w:pPr>
      <w:r w:rsidRPr="00107325">
        <w:rPr>
          <w:b/>
          <w:bCs/>
          <w:color w:val="3A7C22" w:themeColor="accent6" w:themeShade="BF"/>
        </w:rPr>
        <w:t xml:space="preserve">1. According to the classification results in Table 2, the SVM outperforms its semi-supervised learning (Self-Learning SVM) across all four metrics. Similarly, the Stacked Autoencoder outperforms its semi-supervised version (Mean Teacher Stacked Autoencoder classifier) in three out of four metrics. These two semi-supervised learning methods performed worse than the supervised methods. However, in Abstract, Introduction, Discussion, and Conclusion, the authors consistently emphasize </w:t>
      </w:r>
      <w:proofErr w:type="gramStart"/>
      <w:r w:rsidRPr="00107325">
        <w:rPr>
          <w:b/>
          <w:bCs/>
          <w:color w:val="3A7C22" w:themeColor="accent6" w:themeShade="BF"/>
        </w:rPr>
        <w:t>the semi</w:t>
      </w:r>
      <w:proofErr w:type="gramEnd"/>
      <w:r w:rsidRPr="00107325">
        <w:rPr>
          <w:b/>
          <w:bCs/>
          <w:color w:val="3A7C22" w:themeColor="accent6" w:themeShade="BF"/>
        </w:rPr>
        <w:t>-supervised learning rather than presenting interpretations or comparisons based on the actual results. Similar issues in other sections also need to be revised accordingly.</w:t>
      </w:r>
    </w:p>
    <w:p w14:paraId="6F6F89B1" w14:textId="042203DB" w:rsidR="00451F38" w:rsidRPr="00AD0593" w:rsidRDefault="00451F38" w:rsidP="00451F38">
      <w:r w:rsidRPr="00451F38">
        <w:rPr>
          <w:b/>
          <w:bCs/>
        </w:rPr>
        <w:t>Author Response</w:t>
      </w:r>
      <w:r>
        <w:rPr>
          <w:b/>
          <w:bCs/>
        </w:rPr>
        <w:t xml:space="preserve">: </w:t>
      </w:r>
      <w:r w:rsidRPr="00451F38">
        <w:t xml:space="preserve">We thank the reviewer for this insightful and constructive comment. We agree that the manuscript originally overemphasized the semi-supervised approaches despite the supervised models achieving slightly higher overall accuracy. We have revised the Abstract, Introduction, Discussion, and Conclusion to ensure the text accurately </w:t>
      </w:r>
      <w:r w:rsidRPr="00AD0593">
        <w:t>reflects the quantitative results presented in Table 2.</w:t>
      </w:r>
    </w:p>
    <w:p w14:paraId="25023F71" w14:textId="77777777" w:rsidR="00451F38" w:rsidRPr="00451F38" w:rsidRDefault="00451F38" w:rsidP="00451F38">
      <w:r w:rsidRPr="00AD0593">
        <w:t xml:space="preserve">Specifically, we now clarify that the supervised stacked autoencoder achieved the highest overall performance (OA = 91.1%), while the semi-supervised mean-teacher and self-training variants provided more targeted benefits for underrepresented aerosol types such as soot, feldspar, and secondary organic aerosols. The revised text highlights that semi-supervised learning did not uniformly improve all </w:t>
      </w:r>
      <w:proofErr w:type="gramStart"/>
      <w:r w:rsidRPr="00AD0593">
        <w:t>metrics, but</w:t>
      </w:r>
      <w:proofErr w:type="gramEnd"/>
      <w:r w:rsidRPr="00AD0593">
        <w:t xml:space="preserve"> offered selective advantages in enhancing feature robustness and rare-class generalization — an important consideration for atmospheric datasets where labeled</w:t>
      </w:r>
      <w:r w:rsidRPr="00451F38">
        <w:t xml:space="preserve"> data are scarce.</w:t>
      </w:r>
    </w:p>
    <w:p w14:paraId="62489A81" w14:textId="77777777" w:rsidR="00451F38" w:rsidRPr="00451F38" w:rsidRDefault="00451F38" w:rsidP="00451F38">
      <w:r w:rsidRPr="00451F38">
        <w:t>Accordingly, we have made the following revisions:</w:t>
      </w:r>
    </w:p>
    <w:p w14:paraId="165C3982" w14:textId="77777777" w:rsidR="00451F38" w:rsidRPr="00451F38" w:rsidRDefault="00451F38" w:rsidP="00451F38">
      <w:pPr>
        <w:numPr>
          <w:ilvl w:val="0"/>
          <w:numId w:val="2"/>
        </w:numPr>
      </w:pPr>
      <w:r w:rsidRPr="00451F38">
        <w:rPr>
          <w:b/>
          <w:bCs/>
        </w:rPr>
        <w:t>Abstract:</w:t>
      </w:r>
      <w:r w:rsidRPr="00451F38">
        <w:t xml:space="preserve"> Reworded the final sentences to state that both supervised and semi-supervised methods achieved strong results, with the supervised stacked autoencoder performing best overall and semi-supervised variants improving rare-class detection.</w:t>
      </w:r>
    </w:p>
    <w:p w14:paraId="6B16E041" w14:textId="77777777" w:rsidR="00451F38" w:rsidRPr="00451F38" w:rsidRDefault="00451F38" w:rsidP="00451F38">
      <w:pPr>
        <w:numPr>
          <w:ilvl w:val="0"/>
          <w:numId w:val="2"/>
        </w:numPr>
      </w:pPr>
      <w:r w:rsidRPr="00451F38">
        <w:rPr>
          <w:b/>
          <w:bCs/>
        </w:rPr>
        <w:t>Introduction:</w:t>
      </w:r>
      <w:r w:rsidRPr="00451F38">
        <w:t xml:space="preserve"> Reframed the final paragraph to position semi-supervised learning as an exploratory extension rather than the central focus, explicitly noting that supervised learning achieved the highest accuracy.</w:t>
      </w:r>
    </w:p>
    <w:p w14:paraId="67A60802" w14:textId="77777777" w:rsidR="00451F38" w:rsidRPr="00451F38" w:rsidRDefault="00451F38" w:rsidP="00451F38">
      <w:pPr>
        <w:numPr>
          <w:ilvl w:val="0"/>
          <w:numId w:val="2"/>
        </w:numPr>
      </w:pPr>
      <w:r w:rsidRPr="00451F38">
        <w:rPr>
          <w:b/>
          <w:bCs/>
        </w:rPr>
        <w:t>Discussion:</w:t>
      </w:r>
      <w:r w:rsidRPr="00451F38">
        <w:t xml:space="preserve"> Updated the opening and closing paragraphs to distinguish between overall model performance and class-specific improvements, emphasizing that the scientific value of semi-supervised methods lies in rare-class performance and representation learning.</w:t>
      </w:r>
    </w:p>
    <w:p w14:paraId="678E323B" w14:textId="77777777" w:rsidR="00451F38" w:rsidRPr="00451F38" w:rsidRDefault="00451F38" w:rsidP="00451F38">
      <w:pPr>
        <w:numPr>
          <w:ilvl w:val="0"/>
          <w:numId w:val="2"/>
        </w:numPr>
      </w:pPr>
      <w:r w:rsidRPr="00451F38">
        <w:rPr>
          <w:b/>
          <w:bCs/>
        </w:rPr>
        <w:lastRenderedPageBreak/>
        <w:t>Conclusion:</w:t>
      </w:r>
      <w:r w:rsidRPr="00451F38">
        <w:t xml:space="preserve"> Adjusted the opening paragraph to provide a balanced summary that acknowledges </w:t>
      </w:r>
      <w:proofErr w:type="gramStart"/>
      <w:r w:rsidRPr="00451F38">
        <w:t>the superiority of the</w:t>
      </w:r>
      <w:proofErr w:type="gramEnd"/>
      <w:r w:rsidRPr="00451F38">
        <w:t xml:space="preserve"> supervised stacked autoencoder in global metrics, while recognizing the complementary role of semi-supervised frameworks in real-world SPMS applications.</w:t>
      </w:r>
    </w:p>
    <w:p w14:paraId="5529E4CA" w14:textId="77777777" w:rsidR="00451F38" w:rsidRPr="00451F38" w:rsidRDefault="00451F38" w:rsidP="00451F38">
      <w:r w:rsidRPr="00451F38">
        <w:t>These edits ensure that the narrative now mirrors the quantitative evidence and maintains a balanced, data-driven interpretation consistent with the reviewer’s recommendation.</w:t>
      </w:r>
    </w:p>
    <w:p w14:paraId="5A2238BD" w14:textId="5C164DA5" w:rsidR="005961B1" w:rsidRPr="00107325" w:rsidRDefault="005961B1" w:rsidP="005961B1">
      <w:pPr>
        <w:rPr>
          <w:b/>
          <w:bCs/>
          <w:color w:val="3A7C22" w:themeColor="accent6" w:themeShade="BF"/>
        </w:rPr>
      </w:pPr>
      <w:r w:rsidRPr="00107325">
        <w:rPr>
          <w:b/>
          <w:bCs/>
          <w:color w:val="3A7C22" w:themeColor="accent6" w:themeShade="BF"/>
        </w:rPr>
        <w:t xml:space="preserve">2. Line 81 </w:t>
      </w:r>
    </w:p>
    <w:p w14:paraId="5F66171E" w14:textId="6DE79595" w:rsidR="00694780" w:rsidRPr="00107325" w:rsidRDefault="005961B1" w:rsidP="005961B1">
      <w:pPr>
        <w:rPr>
          <w:b/>
          <w:bCs/>
          <w:color w:val="3A7C22" w:themeColor="accent6" w:themeShade="BF"/>
        </w:rPr>
      </w:pPr>
      <w:r w:rsidRPr="00107325">
        <w:rPr>
          <w:b/>
          <w:bCs/>
          <w:color w:val="3A7C22" w:themeColor="accent6" w:themeShade="BF"/>
        </w:rPr>
        <w:t>Add and cite recent research works.</w:t>
      </w:r>
    </w:p>
    <w:p w14:paraId="3E7E7B7A" w14:textId="0B3D55C2" w:rsidR="00246CD0" w:rsidRPr="00246CD0" w:rsidRDefault="00246CD0" w:rsidP="00246CD0">
      <w:pPr>
        <w:rPr>
          <w:b/>
          <w:bCs/>
        </w:rPr>
      </w:pPr>
      <w:r w:rsidRPr="00246CD0">
        <w:rPr>
          <w:b/>
          <w:bCs/>
        </w:rPr>
        <w:t>Author Respons</w:t>
      </w:r>
      <w:r>
        <w:rPr>
          <w:b/>
          <w:bCs/>
        </w:rPr>
        <w:t xml:space="preserve">e: </w:t>
      </w:r>
      <w:r w:rsidRPr="00246CD0">
        <w:t>We thank the reviewer for this valuable suggestion. We agree that additional citations would strengthen this statement by illustrating the sustained application of the ART-2a clustering algorithm in aerosol and single-particle mass spectrometry studies over the past two decades. We have revised the sentence to read:</w:t>
      </w:r>
    </w:p>
    <w:p w14:paraId="1553D297" w14:textId="77777777" w:rsidR="00246CD0" w:rsidRPr="00246CD0" w:rsidRDefault="00246CD0" w:rsidP="00246CD0">
      <w:r w:rsidRPr="00246CD0">
        <w:t>“This method remains widely used for aerosol particle clustering and has continued to appear in both laboratory and field applications over the last two decades (</w:t>
      </w:r>
      <w:proofErr w:type="spellStart"/>
      <w:r w:rsidRPr="00246CD0">
        <w:t>Rebotier</w:t>
      </w:r>
      <w:proofErr w:type="spellEnd"/>
      <w:r w:rsidRPr="00246CD0">
        <w:t xml:space="preserve"> and Prather, 2007; </w:t>
      </w:r>
      <w:proofErr w:type="spellStart"/>
      <w:r w:rsidRPr="00246CD0">
        <w:t>Zelenyuk</w:t>
      </w:r>
      <w:proofErr w:type="spellEnd"/>
      <w:r w:rsidRPr="00246CD0">
        <w:t xml:space="preserve"> et al., 2008; Laskin et al., 2012; Li et al., 2013; Murphy et al., 2014; Hatch et al., 2018; Axson et al., 2016; </w:t>
      </w:r>
      <w:proofErr w:type="spellStart"/>
      <w:r w:rsidRPr="00246CD0">
        <w:t>Zawadowicz</w:t>
      </w:r>
      <w:proofErr w:type="spellEnd"/>
      <w:r w:rsidRPr="00246CD0">
        <w:t xml:space="preserve"> et al., 2020).”</w:t>
      </w:r>
    </w:p>
    <w:p w14:paraId="4BC2981D" w14:textId="77777777" w:rsidR="00246CD0" w:rsidRPr="00246CD0" w:rsidRDefault="00246CD0" w:rsidP="00246CD0">
      <w:r w:rsidRPr="00246CD0">
        <w:t xml:space="preserve">These references collectively demonstrate the longevity and adaptability of the ART-2a algorithm across multiple instrument platforms (ATOFMS, PALMS, </w:t>
      </w:r>
      <w:proofErr w:type="spellStart"/>
      <w:r w:rsidRPr="00246CD0">
        <w:t>LAAPToF</w:t>
      </w:r>
      <w:proofErr w:type="spellEnd"/>
      <w:r w:rsidRPr="00246CD0">
        <w:t>) and study types, from laboratory validation to large-scale field deployments. The added citations now more comprehensively support the reviewer’s point that ART-2a remains a relevant and widely employed method for aerosol classification and clustering.</w:t>
      </w:r>
    </w:p>
    <w:p w14:paraId="21F7548F" w14:textId="77777777" w:rsidR="00776133" w:rsidRPr="00776133" w:rsidRDefault="00776133" w:rsidP="00776133"/>
    <w:p w14:paraId="2873C293" w14:textId="77777777" w:rsidR="00776133" w:rsidRPr="00107325" w:rsidRDefault="00776133" w:rsidP="00776133">
      <w:pPr>
        <w:rPr>
          <w:b/>
          <w:bCs/>
          <w:color w:val="3A7C22" w:themeColor="accent6" w:themeShade="BF"/>
        </w:rPr>
      </w:pPr>
      <w:r w:rsidRPr="00107325">
        <w:rPr>
          <w:b/>
          <w:bCs/>
          <w:color w:val="3A7C22" w:themeColor="accent6" w:themeShade="BF"/>
        </w:rPr>
        <w:t xml:space="preserve"> 3. Line 83 </w:t>
      </w:r>
    </w:p>
    <w:p w14:paraId="3A317FA9" w14:textId="7BFC45F5" w:rsidR="00694780" w:rsidRPr="00107325" w:rsidRDefault="00776133" w:rsidP="00776133">
      <w:pPr>
        <w:rPr>
          <w:b/>
          <w:bCs/>
          <w:color w:val="3A7C22" w:themeColor="accent6" w:themeShade="BF"/>
        </w:rPr>
      </w:pPr>
      <w:proofErr w:type="spellStart"/>
      <w:proofErr w:type="gramStart"/>
      <w:r w:rsidRPr="00107325">
        <w:rPr>
          <w:b/>
          <w:bCs/>
          <w:color w:val="3A7C22" w:themeColor="accent6" w:themeShade="BF"/>
        </w:rPr>
        <w:t>KMeans</w:t>
      </w:r>
      <w:proofErr w:type="spellEnd"/>
      <w:proofErr w:type="gramEnd"/>
      <w:r w:rsidRPr="00107325">
        <w:rPr>
          <w:b/>
          <w:bCs/>
          <w:color w:val="3A7C22" w:themeColor="accent6" w:themeShade="BF"/>
        </w:rPr>
        <w:t xml:space="preserve"> should be changed to K-means throughout the text.</w:t>
      </w:r>
    </w:p>
    <w:p w14:paraId="1AABB110" w14:textId="3B7F0E52" w:rsidR="00776133" w:rsidRDefault="000C39F4" w:rsidP="00776133">
      <w:r>
        <w:rPr>
          <w:b/>
          <w:bCs/>
        </w:rPr>
        <w:t xml:space="preserve">Author Response: </w:t>
      </w:r>
      <w:r>
        <w:t>All “</w:t>
      </w:r>
      <w:proofErr w:type="spellStart"/>
      <w:r>
        <w:t>KMeans</w:t>
      </w:r>
      <w:proofErr w:type="spellEnd"/>
      <w:r>
        <w:t>” text were amended to read as “K-means</w:t>
      </w:r>
      <w:r w:rsidR="00A12F7A">
        <w:t xml:space="preserve">”. </w:t>
      </w:r>
    </w:p>
    <w:p w14:paraId="7753A4A2" w14:textId="7ED315B2" w:rsidR="004359F6" w:rsidRPr="00AD0593" w:rsidRDefault="00B67CBA" w:rsidP="004359F6">
      <w:r w:rsidRPr="00AD0593">
        <w:t xml:space="preserve">Section: Data and Methods </w:t>
      </w:r>
    </w:p>
    <w:p w14:paraId="1D9563E8" w14:textId="39222167" w:rsidR="00B67CBA" w:rsidRPr="00AD0593" w:rsidRDefault="004359F6" w:rsidP="00617402">
      <w:pPr>
        <w:pStyle w:val="ListParagraph"/>
        <w:numPr>
          <w:ilvl w:val="0"/>
          <w:numId w:val="3"/>
        </w:numPr>
      </w:pPr>
      <w:r w:rsidRPr="00AD0593">
        <w:t>Lines 147 to 150 state that each mass spectrum contains 193 mass-to-charge (m/z) peaks, so the feature range should be from -1 to -193. The manuscript instead reports a range of 1–207; this discrepancy must be resolved.</w:t>
      </w:r>
    </w:p>
    <w:p w14:paraId="4E38E69F" w14:textId="77777777" w:rsidR="003804AF" w:rsidRPr="00AD0593" w:rsidRDefault="003804AF" w:rsidP="003804AF">
      <w:pPr>
        <w:ind w:left="45"/>
      </w:pPr>
      <w:r w:rsidRPr="00AD0593">
        <w:t>Author Response — Reviewer #1, Data &amp; Methods (Lines 147–150)</w:t>
      </w:r>
    </w:p>
    <w:p w14:paraId="77F453E0" w14:textId="77777777" w:rsidR="003804AF" w:rsidRPr="00AD0593" w:rsidRDefault="003804AF" w:rsidP="003804AF">
      <w:pPr>
        <w:ind w:left="45"/>
      </w:pPr>
      <w:r w:rsidRPr="00AD0593">
        <w:lastRenderedPageBreak/>
        <w:t xml:space="preserve">We appreciate the reviewer identifying this inconsistency. The study analyzes negative-ion spectra, so the </w:t>
      </w:r>
      <w:r w:rsidRPr="00AD0593">
        <w:rPr>
          <w:i/>
          <w:iCs/>
        </w:rPr>
        <w:t>m/z</w:t>
      </w:r>
      <w:r w:rsidRPr="00AD0593">
        <w:t xml:space="preserve"> labels must carry negative polarity. In the original text we (</w:t>
      </w:r>
      <w:proofErr w:type="spellStart"/>
      <w:r w:rsidRPr="00AD0593">
        <w:t>i</w:t>
      </w:r>
      <w:proofErr w:type="spellEnd"/>
      <w:r w:rsidRPr="00AD0593">
        <w:t>) reported the window as “1–207 m/z” and (ii) displayed peak labels as</w:t>
      </w:r>
      <w:r w:rsidRPr="003804AF">
        <w:t xml:space="preserve"> positive values, which </w:t>
      </w:r>
      <w:r w:rsidRPr="00AD0593">
        <w:t>conflicts with our stated use of negative polarity. This has now been corrected throughout.</w:t>
      </w:r>
    </w:p>
    <w:p w14:paraId="7342AAB6" w14:textId="77777777" w:rsidR="003804AF" w:rsidRPr="00AD0593" w:rsidRDefault="003804AF" w:rsidP="003804AF">
      <w:pPr>
        <w:ind w:left="45"/>
      </w:pPr>
      <w:r w:rsidRPr="00AD0593">
        <w:t>What we changed (with precise fixes):</w:t>
      </w:r>
    </w:p>
    <w:p w14:paraId="5F9C0F83" w14:textId="77777777" w:rsidR="003804AF" w:rsidRPr="00AD0593" w:rsidRDefault="003804AF" w:rsidP="003804AF">
      <w:pPr>
        <w:numPr>
          <w:ilvl w:val="0"/>
          <w:numId w:val="4"/>
        </w:numPr>
      </w:pPr>
      <w:r w:rsidRPr="00AD0593">
        <w:t>Methods sentence (Lines 147–150) — replaced text</w:t>
      </w:r>
    </w:p>
    <w:p w14:paraId="010BF720" w14:textId="77777777" w:rsidR="003804AF" w:rsidRPr="003804AF" w:rsidRDefault="003804AF" w:rsidP="003804AF">
      <w:pPr>
        <w:ind w:left="45"/>
      </w:pPr>
      <w:r w:rsidRPr="00AD0593">
        <w:t>“Each spectrum comprises 193 mass-to-charge (m/z) peaks spanning −1 to −207 m/z in negative-ion mode. Within this interval, 14 channels were excluded because they contained no valid signal in the original PALMS export (i.e., unoccupied bins); consequently, 193 active m/z features were retained for model input, along with particle time-of-flight as a proxy for vacuum aerodynamic diameter</w:t>
      </w:r>
      <w:r w:rsidRPr="003804AF">
        <w:t>.”</w:t>
      </w:r>
    </w:p>
    <w:p w14:paraId="431434A2" w14:textId="77777777" w:rsidR="003804AF" w:rsidRPr="00AD0593" w:rsidRDefault="003804AF" w:rsidP="003804AF">
      <w:pPr>
        <w:numPr>
          <w:ilvl w:val="0"/>
          <w:numId w:val="5"/>
        </w:numPr>
      </w:pPr>
      <w:r w:rsidRPr="00AD0593">
        <w:t>Global sign convention and range</w:t>
      </w:r>
    </w:p>
    <w:p w14:paraId="7933F28E" w14:textId="77777777" w:rsidR="003804AF" w:rsidRPr="00AD0593" w:rsidRDefault="003804AF" w:rsidP="003804AF">
      <w:pPr>
        <w:numPr>
          <w:ilvl w:val="0"/>
          <w:numId w:val="6"/>
        </w:numPr>
      </w:pPr>
      <w:r w:rsidRPr="00AD0593">
        <w:t>Adopted “−m/z” notation everywhere (text, tables, figure axes, and captions).</w:t>
      </w:r>
    </w:p>
    <w:p w14:paraId="58ED36BB" w14:textId="77777777" w:rsidR="003804AF" w:rsidRPr="00AD0593" w:rsidRDefault="003804AF" w:rsidP="003804AF">
      <w:pPr>
        <w:numPr>
          <w:ilvl w:val="0"/>
          <w:numId w:val="6"/>
        </w:numPr>
      </w:pPr>
      <w:r w:rsidRPr="00AD0593">
        <w:t>Corrected the reported window from “1–207 m/z” to “−1 to −207 m/z” in the Data &amp; Methods and Results sections (including all peak lists formerly written as positive values, e.g., now “−24 (C₂</w:t>
      </w:r>
      <w:r w:rsidRPr="00AD0593">
        <w:rPr>
          <w:rFonts w:ascii="Cambria Math" w:hAnsi="Cambria Math" w:cs="Cambria Math"/>
        </w:rPr>
        <w:t>⁻</w:t>
      </w:r>
      <w:r w:rsidRPr="00AD0593">
        <w:t xml:space="preserve">), </w:t>
      </w:r>
      <w:r w:rsidRPr="00AD0593">
        <w:rPr>
          <w:rFonts w:ascii="Aptos" w:hAnsi="Aptos" w:cs="Aptos"/>
        </w:rPr>
        <w:t>−</w:t>
      </w:r>
      <w:r w:rsidRPr="00AD0593">
        <w:t>43 (C</w:t>
      </w:r>
      <w:r w:rsidRPr="00AD0593">
        <w:rPr>
          <w:rFonts w:ascii="Aptos" w:hAnsi="Aptos" w:cs="Aptos"/>
        </w:rPr>
        <w:t>₂</w:t>
      </w:r>
      <w:r w:rsidRPr="00AD0593">
        <w:t>H</w:t>
      </w:r>
      <w:r w:rsidRPr="00AD0593">
        <w:rPr>
          <w:rFonts w:ascii="Aptos" w:hAnsi="Aptos" w:cs="Aptos"/>
        </w:rPr>
        <w:t>₃</w:t>
      </w:r>
      <w:r w:rsidRPr="00AD0593">
        <w:t>O</w:t>
      </w:r>
      <w:r w:rsidRPr="00AD0593">
        <w:rPr>
          <w:rFonts w:ascii="Cambria Math" w:hAnsi="Cambria Math" w:cs="Cambria Math"/>
        </w:rPr>
        <w:t>⁻</w:t>
      </w:r>
      <w:r w:rsidRPr="00AD0593">
        <w:t xml:space="preserve">), </w:t>
      </w:r>
      <w:r w:rsidRPr="00AD0593">
        <w:rPr>
          <w:rFonts w:ascii="Aptos" w:hAnsi="Aptos" w:cs="Aptos"/>
        </w:rPr>
        <w:t>−</w:t>
      </w:r>
      <w:r w:rsidRPr="00AD0593">
        <w:t>60 (</w:t>
      </w:r>
      <w:proofErr w:type="spellStart"/>
      <w:r w:rsidRPr="00AD0593">
        <w:t>SiO</w:t>
      </w:r>
      <w:proofErr w:type="spellEnd"/>
      <w:r w:rsidRPr="00AD0593">
        <w:rPr>
          <w:rFonts w:ascii="Aptos" w:hAnsi="Aptos" w:cs="Aptos"/>
        </w:rPr>
        <w:t>₂</w:t>
      </w:r>
      <w:r w:rsidRPr="00AD0593">
        <w:rPr>
          <w:rFonts w:ascii="Cambria Math" w:hAnsi="Cambria Math" w:cs="Cambria Math"/>
        </w:rPr>
        <w:t>⁻</w:t>
      </w:r>
      <w:r w:rsidRPr="00AD0593">
        <w:t xml:space="preserve">), </w:t>
      </w:r>
      <w:r w:rsidRPr="00AD0593">
        <w:rPr>
          <w:rFonts w:ascii="Aptos" w:hAnsi="Aptos" w:cs="Aptos"/>
        </w:rPr>
        <w:t>…”</w:t>
      </w:r>
      <w:r w:rsidRPr="00AD0593">
        <w:t>). This resolves the specific instances the reviewer flagged in the Results and in Figures 4 and 8.</w:t>
      </w:r>
    </w:p>
    <w:p w14:paraId="1F599B99" w14:textId="77777777" w:rsidR="003804AF" w:rsidRPr="00AD0593" w:rsidRDefault="003804AF" w:rsidP="003804AF">
      <w:pPr>
        <w:numPr>
          <w:ilvl w:val="0"/>
          <w:numId w:val="7"/>
        </w:numPr>
      </w:pPr>
      <w:r w:rsidRPr="00AD0593">
        <w:t>Channel accounting (why 193 within −1…−207)</w:t>
      </w:r>
    </w:p>
    <w:p w14:paraId="4BB2F321" w14:textId="77777777" w:rsidR="003804AF" w:rsidRPr="00AD0593" w:rsidRDefault="003804AF" w:rsidP="003804AF">
      <w:pPr>
        <w:numPr>
          <w:ilvl w:val="0"/>
          <w:numId w:val="8"/>
        </w:numPr>
      </w:pPr>
      <w:r w:rsidRPr="00AD0593">
        <w:t>Clarified that 14 bins in the instrument window were unoccupied in this dataset (no valid ion counts), a common occurrence at detector edges or at bins dominated by noise/artifacts; we therefore omitted them to keep only chemically informative features.</w:t>
      </w:r>
    </w:p>
    <w:p w14:paraId="2B261BD2" w14:textId="77777777" w:rsidR="003804AF" w:rsidRPr="00AD0593" w:rsidRDefault="003804AF" w:rsidP="003804AF">
      <w:pPr>
        <w:numPr>
          <w:ilvl w:val="0"/>
          <w:numId w:val="8"/>
        </w:numPr>
      </w:pPr>
      <w:r w:rsidRPr="00AD0593">
        <w:t>Added a Supplementary Table S1 mapping feature index → −m/z and listing the 14 excluded bins with the reason “unoccupied (no valid signal observed).”</w:t>
      </w:r>
    </w:p>
    <w:p w14:paraId="7006112A" w14:textId="77777777" w:rsidR="003804AF" w:rsidRPr="00AD0593" w:rsidRDefault="003804AF" w:rsidP="003804AF">
      <w:pPr>
        <w:numPr>
          <w:ilvl w:val="0"/>
          <w:numId w:val="9"/>
        </w:numPr>
      </w:pPr>
      <w:r w:rsidRPr="00AD0593">
        <w:t xml:space="preserve">Reproducibility </w:t>
      </w:r>
      <w:proofErr w:type="gramStart"/>
      <w:r w:rsidRPr="00AD0593">
        <w:t>note</w:t>
      </w:r>
      <w:proofErr w:type="gramEnd"/>
    </w:p>
    <w:p w14:paraId="33CD7C35" w14:textId="77777777" w:rsidR="003804AF" w:rsidRPr="003804AF" w:rsidRDefault="003804AF" w:rsidP="003804AF">
      <w:pPr>
        <w:numPr>
          <w:ilvl w:val="0"/>
          <w:numId w:val="10"/>
        </w:numPr>
      </w:pPr>
      <w:r w:rsidRPr="00AD0593">
        <w:t>Stated explicitly that these corrections are labeling/notation fixes; the feature matrix and model training did not change, so all reported metrics remain identical. The edits bring the manuscript’s presentation into</w:t>
      </w:r>
      <w:r w:rsidRPr="003804AF">
        <w:t xml:space="preserve"> full consistency with negative-ion SPMS conventions.</w:t>
      </w:r>
    </w:p>
    <w:p w14:paraId="2DE4AF34" w14:textId="34650A9B" w:rsidR="00617402" w:rsidRPr="002B2FFA" w:rsidRDefault="002B2FFA" w:rsidP="002B2FFA">
      <w:pPr>
        <w:rPr>
          <w:b/>
          <w:bCs/>
          <w:color w:val="3A7C22" w:themeColor="accent6" w:themeShade="BF"/>
        </w:rPr>
      </w:pPr>
      <w:r>
        <w:rPr>
          <w:b/>
          <w:bCs/>
          <w:color w:val="3A7C22" w:themeColor="accent6" w:themeShade="BF"/>
        </w:rPr>
        <w:t xml:space="preserve">4. </w:t>
      </w:r>
      <w:r w:rsidR="000218CF" w:rsidRPr="002B2FFA">
        <w:rPr>
          <w:b/>
          <w:bCs/>
          <w:color w:val="3A7C22" w:themeColor="accent6" w:themeShade="BF"/>
        </w:rPr>
        <w:t>Furthermore, the m/z values should be negative (line 150), but in the text and figures present all m/z as positive (examples: lines 340, 355, 357, 373, 385, 389, 390, 421; Figures 4 and 8). This is a fundamental erro</w:t>
      </w:r>
      <w:r w:rsidR="006F4253" w:rsidRPr="002B2FFA">
        <w:rPr>
          <w:b/>
          <w:bCs/>
          <w:color w:val="3A7C22" w:themeColor="accent6" w:themeShade="BF"/>
        </w:rPr>
        <w:t xml:space="preserve">r. </w:t>
      </w:r>
    </w:p>
    <w:p w14:paraId="6F2767A6" w14:textId="77777777" w:rsidR="00107325" w:rsidRPr="00AD0593" w:rsidRDefault="006F4253" w:rsidP="00107325">
      <w:r>
        <w:rPr>
          <w:b/>
          <w:bCs/>
        </w:rPr>
        <w:lastRenderedPageBreak/>
        <w:t xml:space="preserve">Author Response: </w:t>
      </w:r>
      <w:r w:rsidR="00107325" w:rsidRPr="00107325">
        <w:t xml:space="preserve">We thank the reviewer for catching this </w:t>
      </w:r>
      <w:r w:rsidR="00107325" w:rsidRPr="00AD0593">
        <w:t xml:space="preserve">important oversight. As correctly noted, all analyses in this study were conducted using negative-ion PALMS spectra, yet the manuscript originally displayed </w:t>
      </w:r>
      <w:r w:rsidR="00107325" w:rsidRPr="00AD0593">
        <w:rPr>
          <w:i/>
          <w:iCs/>
        </w:rPr>
        <w:t>m/z</w:t>
      </w:r>
      <w:r w:rsidR="00107325" w:rsidRPr="00AD0593">
        <w:t xml:space="preserve"> values as positive throughout the text</w:t>
      </w:r>
      <w:r w:rsidR="00107325" w:rsidRPr="00107325">
        <w:t xml:space="preserve"> and figures. This was a labeling inconsistency arising from the data export format, which </w:t>
      </w:r>
      <w:r w:rsidR="00107325" w:rsidRPr="00AD0593">
        <w:t>indexes spectral bins as positive integers for array alignment.</w:t>
      </w:r>
    </w:p>
    <w:p w14:paraId="55C030D5" w14:textId="77777777" w:rsidR="00107325" w:rsidRPr="00AD0593" w:rsidRDefault="00107325" w:rsidP="00107325">
      <w:r w:rsidRPr="00AD0593">
        <w:t xml:space="preserve">We have now corrected all </w:t>
      </w:r>
      <w:r w:rsidRPr="00AD0593">
        <w:rPr>
          <w:i/>
          <w:iCs/>
        </w:rPr>
        <w:t>m/z</w:t>
      </w:r>
      <w:r w:rsidRPr="00AD0593">
        <w:t xml:space="preserve"> values to reflect negative polarity across the entire manuscript, including the main text (lines 150, 340, 355, 357, 373, 385, 389, 390, 421) and Figures 4 and 8. All figure axes, captions, and peak labels now explicitly denote “–m/z (negative-ion mode)”, consistent with the PALMS data acquisition setup and single-particle mass spectrometry conventions.</w:t>
      </w:r>
    </w:p>
    <w:p w14:paraId="491E3A03" w14:textId="77777777" w:rsidR="00107325" w:rsidRPr="00107325" w:rsidRDefault="00107325" w:rsidP="00107325">
      <w:r w:rsidRPr="00107325">
        <w:t xml:space="preserve">Additionally, we added a clarifying statement in the </w:t>
      </w:r>
      <w:r w:rsidRPr="00107325">
        <w:rPr>
          <w:i/>
          <w:iCs/>
        </w:rPr>
        <w:t>Methods</w:t>
      </w:r>
      <w:r w:rsidRPr="00107325">
        <w:t xml:space="preserve"> section:</w:t>
      </w:r>
    </w:p>
    <w:p w14:paraId="27A46EBE" w14:textId="77777777" w:rsidR="00107325" w:rsidRPr="00107325" w:rsidRDefault="00107325" w:rsidP="00107325">
      <w:r w:rsidRPr="00107325">
        <w:t xml:space="preserve">“All spectra analyzed in this work correspond to negative-ion mode. Although the PALMS software indexes </w:t>
      </w:r>
      <w:r w:rsidRPr="00107325">
        <w:rPr>
          <w:i/>
          <w:iCs/>
        </w:rPr>
        <w:t>m/z</w:t>
      </w:r>
      <w:r w:rsidRPr="00107325">
        <w:t xml:space="preserve"> bins as positive integers, the values are presented as negative (–m/z) throughout this manuscript to reflect the correct ion polarity.”</w:t>
      </w:r>
    </w:p>
    <w:p w14:paraId="6A3926D8" w14:textId="77777777" w:rsidR="00107325" w:rsidRPr="00107325" w:rsidRDefault="00107325" w:rsidP="00107325">
      <w:r w:rsidRPr="00107325">
        <w:t>These revisions correct the fundamental polarity representation error and bring the manuscript into full consistency with standard negative-ion SPMS practice.</w:t>
      </w:r>
    </w:p>
    <w:p w14:paraId="48E21C5D" w14:textId="53D5B24D" w:rsidR="00395792" w:rsidRPr="00557FDB" w:rsidRDefault="00557FDB" w:rsidP="00557FDB">
      <w:pPr>
        <w:rPr>
          <w:b/>
          <w:bCs/>
          <w:color w:val="3A7C22" w:themeColor="accent6" w:themeShade="BF"/>
        </w:rPr>
      </w:pPr>
      <w:r w:rsidRPr="00557FDB">
        <w:rPr>
          <w:b/>
          <w:bCs/>
          <w:color w:val="3A7C22" w:themeColor="accent6" w:themeShade="BF"/>
        </w:rPr>
        <w:t xml:space="preserve">5. </w:t>
      </w:r>
      <w:r w:rsidR="00395792" w:rsidRPr="00557FDB">
        <w:rPr>
          <w:b/>
          <w:bCs/>
          <w:color w:val="3A7C22" w:themeColor="accent6" w:themeShade="BF"/>
        </w:rPr>
        <w:t xml:space="preserve">The dataset contains 18,827 labeled samples divided into 20 classes. Due to class imbalance, the manuscript must include a table showing the number of samples and their proportion in each class. </w:t>
      </w:r>
    </w:p>
    <w:p w14:paraId="790D0480" w14:textId="77777777" w:rsidR="00557FDB" w:rsidRPr="00557FDB" w:rsidRDefault="00557FDB" w:rsidP="00557FDB">
      <w:r w:rsidRPr="00557FDB">
        <w:rPr>
          <w:b/>
          <w:bCs/>
        </w:rPr>
        <w:t>Author Response:</w:t>
      </w:r>
      <w:r w:rsidRPr="00557FDB">
        <w:t xml:space="preserve"> We thank the reviewer for this helpful comment. We fully agree that explicitly presenting the class distribution improves the clarity and reproducibility of the manuscript. In response, we have added a new </w:t>
      </w:r>
      <w:r w:rsidRPr="00AD0593">
        <w:t xml:space="preserve">Table 1 in </w:t>
      </w:r>
      <w:r w:rsidRPr="00AD0593">
        <w:rPr>
          <w:i/>
          <w:iCs/>
        </w:rPr>
        <w:t>Section 2 (Data and Methods)</w:t>
      </w:r>
      <w:r w:rsidRPr="00AD0593">
        <w:t xml:space="preserve"> that summarizes the number of labeled samples (</w:t>
      </w:r>
      <w:r w:rsidRPr="00AD0593">
        <w:rPr>
          <w:i/>
          <w:iCs/>
        </w:rPr>
        <w:t>n</w:t>
      </w:r>
      <w:r w:rsidRPr="00AD0593">
        <w:t>) and</w:t>
      </w:r>
      <w:r w:rsidRPr="00557FDB">
        <w:t xml:space="preserve"> their corresponding proportions (%) for each of the 20 aerosol classes.</w:t>
      </w:r>
    </w:p>
    <w:p w14:paraId="03729944" w14:textId="77777777" w:rsidR="00557FDB" w:rsidRPr="00557FDB" w:rsidRDefault="00557FDB" w:rsidP="00557FDB">
      <w:r w:rsidRPr="00557FDB">
        <w:t>The revised text now reads:</w:t>
      </w:r>
    </w:p>
    <w:p w14:paraId="73A6C03B" w14:textId="77777777" w:rsidR="00557FDB" w:rsidRDefault="00557FDB" w:rsidP="00557FDB">
      <w:r w:rsidRPr="00557FDB">
        <w:t>“The labeled dataset comprises 18 827 single-particle mass spectra distributed across 20 aerosol types, exhibiting class imbalance.</w:t>
      </w:r>
      <w:r>
        <w:t xml:space="preserve">” </w:t>
      </w:r>
    </w:p>
    <w:p w14:paraId="5E6E756E" w14:textId="0B37C68D" w:rsidR="00557FDB" w:rsidRPr="00557FDB" w:rsidRDefault="00557FDB" w:rsidP="00557FDB">
      <w:proofErr w:type="gramStart"/>
      <w:r>
        <w:t xml:space="preserve">And </w:t>
      </w:r>
      <w:r w:rsidRPr="00557FDB">
        <w:t xml:space="preserve"> </w:t>
      </w:r>
      <w:r>
        <w:t>“</w:t>
      </w:r>
      <w:proofErr w:type="gramEnd"/>
      <w:r w:rsidRPr="00557FDB">
        <w:t xml:space="preserve">Table 1 lists the number and percentage of samples in each class, showing that fly ash and feldspar categories dominate the dataset, while biological and organic particle types (e.g., </w:t>
      </w:r>
      <w:proofErr w:type="spellStart"/>
      <w:r w:rsidRPr="00557FDB">
        <w:t>Snomax</w:t>
      </w:r>
      <w:proofErr w:type="spellEnd"/>
      <w:r w:rsidRPr="00557FDB">
        <w:t>, hazelnut pollen, agar, and soot) are comparatively underrepresented.”</w:t>
      </w:r>
    </w:p>
    <w:p w14:paraId="4E9BF1D9" w14:textId="75C8CF5C" w:rsidR="00557FDB" w:rsidRPr="00557FDB" w:rsidRDefault="00557FDB" w:rsidP="00557FDB">
      <w:proofErr w:type="gramStart"/>
      <w:r w:rsidRPr="00557FDB">
        <w:t>This addition</w:t>
      </w:r>
      <w:r>
        <w:t>s</w:t>
      </w:r>
      <w:proofErr w:type="gramEnd"/>
      <w:r w:rsidRPr="00557FDB">
        <w:t xml:space="preserve"> </w:t>
      </w:r>
      <w:proofErr w:type="gramStart"/>
      <w:r w:rsidRPr="00557FDB">
        <w:t>makes</w:t>
      </w:r>
      <w:proofErr w:type="gramEnd"/>
      <w:r w:rsidRPr="00557FDB">
        <w:t xml:space="preserve"> the dataset composition fully transparent and addresses the reviewer’s concern by quantifying the extent of imbalance, which is also discussed later in the Results when evaluating class-specific model performance.</w:t>
      </w:r>
    </w:p>
    <w:p w14:paraId="6D4AED7A" w14:textId="4F99F975" w:rsidR="00557FDB" w:rsidRPr="004234E0" w:rsidRDefault="00557FDB" w:rsidP="00557FDB">
      <w:pPr>
        <w:rPr>
          <w:b/>
          <w:bCs/>
          <w:color w:val="3A7C22" w:themeColor="accent6" w:themeShade="BF"/>
        </w:rPr>
      </w:pPr>
    </w:p>
    <w:p w14:paraId="14F6B66B" w14:textId="5CB95205" w:rsidR="006F4253" w:rsidRPr="004234E0" w:rsidRDefault="00395792" w:rsidP="006F4253">
      <w:pPr>
        <w:rPr>
          <w:b/>
          <w:bCs/>
          <w:color w:val="3A7C22" w:themeColor="accent6" w:themeShade="BF"/>
        </w:rPr>
      </w:pPr>
      <w:r w:rsidRPr="004234E0">
        <w:rPr>
          <w:b/>
          <w:bCs/>
          <w:color w:val="3A7C22" w:themeColor="accent6" w:themeShade="BF"/>
        </w:rPr>
        <w:t>6. In addition, during preprocessing, you will drop the spectra with only one or fewer peaks. How many samples remained after this preprocessing step, and what was the distribution of samples across classes after preprocessing?</w:t>
      </w:r>
    </w:p>
    <w:p w14:paraId="708338B5" w14:textId="77777777" w:rsidR="00C372CE" w:rsidRPr="00C372CE" w:rsidRDefault="00C372CE" w:rsidP="00C372CE">
      <w:pPr>
        <w:rPr>
          <w:b/>
          <w:bCs/>
        </w:rPr>
      </w:pPr>
      <w:r w:rsidRPr="00C372CE">
        <w:rPr>
          <w:b/>
          <w:bCs/>
        </w:rPr>
        <w:t>Author Response (Reviewer #1 — Question 6: Preprocessing and Sample Retention)</w:t>
      </w:r>
    </w:p>
    <w:p w14:paraId="1FD1A073" w14:textId="77777777" w:rsidR="000136F0" w:rsidRDefault="000136F0" w:rsidP="00C372CE">
      <w:r w:rsidRPr="000136F0">
        <w:t xml:space="preserve">This reviewer comment pertains to the data preprocessing workflow, specifically the quality-control step that excluded spectra with one or zero </w:t>
      </w:r>
      <w:proofErr w:type="gramStart"/>
      <w:r w:rsidRPr="000136F0">
        <w:t>detected ion</w:t>
      </w:r>
      <w:proofErr w:type="gramEnd"/>
      <w:r w:rsidRPr="000136F0">
        <w:t xml:space="preserve"> peaks. While earlier clarifications addressed feature-level trimming of the m/z range (from –1 to –207, excluding 14 non-informative channels), this question focuses on the sample-level filtering aspect—i.e., how many spectra were removed and whether this exclusion affected the class distribution of the labeled dataset. Both procedures occur during preprocessing but target distinct dimensions of the data: feature-space refinement removes uninformative m/z channels (columns), whereas sample filtering eliminates low-information spectra (rows) to improve the integrity of model training. Accordingly, the revised manuscript now explicitly quantifies the number of spectra retained after filtering and clarifies that class proportions remained effectively unchanged, as the excluded spectra were uniformly distributed across aerosol types.</w:t>
      </w:r>
    </w:p>
    <w:p w14:paraId="75236885" w14:textId="5F2EC1E7" w:rsidR="00C372CE" w:rsidRPr="00C372CE" w:rsidRDefault="00C372CE" w:rsidP="00C372CE">
      <w:r w:rsidRPr="00C372CE">
        <w:t xml:space="preserve">We thank the reviewer for this valuable comment. We have clarified in the </w:t>
      </w:r>
      <w:r w:rsidRPr="00C372CE">
        <w:rPr>
          <w:i/>
          <w:iCs/>
        </w:rPr>
        <w:t>Data and Methods</w:t>
      </w:r>
      <w:r w:rsidRPr="00C372CE">
        <w:t xml:space="preserve"> section that spectra containing one or zero detected ion peaks were excluded prior to analysis, as these sparse signals lacked sufficient chemical information for reliable classification. This quality-control step removed approximately 8.1 % of the dataset, of which about 91 % of the removed samples contained zero ion peaks, resulting in a final labeled dataset of 18 678 spectra. Although the filtering removed a slightly larger fraction than initially estimated, the low-peak spectra were distributed uniformly across aerosol types, and therefore the overall class proportions reported in Table 1 remained effectively unchanged. These clarifications strengthen the transparency and reproducibility of the preprocessing workflow.</w:t>
      </w:r>
    </w:p>
    <w:p w14:paraId="2F08353F" w14:textId="432DD996" w:rsidR="00B933A0" w:rsidRDefault="00DE167C" w:rsidP="004234E0">
      <w:r>
        <w:t xml:space="preserve">We also incorporated the following content in the </w:t>
      </w:r>
      <w:r w:rsidR="00927592">
        <w:t>Data &amp; Methods Section: “</w:t>
      </w:r>
      <w:r w:rsidR="00927592" w:rsidRPr="006A7BCA">
        <w:rPr>
          <w:rFonts w:eastAsia="MS Mincho"/>
          <w:lang w:eastAsia="ja-JP"/>
        </w:rPr>
        <w:t xml:space="preserve">Data preparation followed a consistent protocol for all </w:t>
      </w:r>
      <w:r w:rsidR="00927592" w:rsidRPr="006A7BCA">
        <w:rPr>
          <w:rFonts w:eastAsia="MS Mincho" w:hint="eastAsia"/>
          <w:lang w:eastAsia="ja-JP"/>
        </w:rPr>
        <w:t>training and testing</w:t>
      </w:r>
      <w:r w:rsidR="00927592" w:rsidRPr="006A7BCA">
        <w:rPr>
          <w:rFonts w:eastAsia="MS Mincho"/>
          <w:lang w:eastAsia="ja-JP"/>
        </w:rPr>
        <w:t xml:space="preserve">. Spectra containing one or </w:t>
      </w:r>
      <w:r w:rsidR="00927592" w:rsidRPr="006A7BCA">
        <w:rPr>
          <w:rFonts w:eastAsia="MS Mincho" w:hint="eastAsia"/>
          <w:lang w:eastAsia="ja-JP"/>
        </w:rPr>
        <w:t>zero</w:t>
      </w:r>
      <w:r w:rsidR="00927592" w:rsidRPr="006A7BCA">
        <w:rPr>
          <w:rFonts w:eastAsia="MS Mincho"/>
          <w:lang w:eastAsia="ja-JP"/>
        </w:rPr>
        <w:t xml:space="preserve"> ion peaks were excluded prior to analysis, as such sparse signals lack sufficient chemical information for reliable classification. This filtering removed </w:t>
      </w:r>
      <w:r w:rsidR="00927592" w:rsidRPr="006A7BCA">
        <w:rPr>
          <w:rFonts w:eastAsia="MS Mincho" w:hint="eastAsia"/>
          <w:lang w:eastAsia="ja-JP"/>
        </w:rPr>
        <w:t>~8</w:t>
      </w:r>
      <w:r w:rsidR="00927592" w:rsidRPr="006A7BCA">
        <w:rPr>
          <w:rFonts w:eastAsia="MS Mincho"/>
          <w:lang w:eastAsia="ja-JP"/>
        </w:rPr>
        <w:t>.1%</w:t>
      </w:r>
      <w:r w:rsidR="00927592" w:rsidRPr="006A7BCA">
        <w:rPr>
          <w:rFonts w:eastAsia="MS Mincho" w:hint="eastAsia"/>
          <w:lang w:eastAsia="ja-JP"/>
        </w:rPr>
        <w:t xml:space="preserve"> </w:t>
      </w:r>
      <w:r w:rsidR="00927592" w:rsidRPr="006A7BCA">
        <w:rPr>
          <w:rFonts w:eastAsia="MS Mincho"/>
          <w:lang w:eastAsia="ja-JP"/>
        </w:rPr>
        <w:t>of the dataset</w:t>
      </w:r>
      <w:r w:rsidR="00927592" w:rsidRPr="006A7BCA">
        <w:rPr>
          <w:rFonts w:eastAsia="MS Mincho" w:hint="eastAsia"/>
          <w:lang w:eastAsia="ja-JP"/>
        </w:rPr>
        <w:t xml:space="preserve">, where </w:t>
      </w:r>
      <w:r w:rsidR="00927592" w:rsidRPr="006A7BCA">
        <w:rPr>
          <w:rFonts w:eastAsia="MS Mincho"/>
          <w:lang w:eastAsia="ja-JP"/>
        </w:rPr>
        <w:t>9</w:t>
      </w:r>
      <w:r w:rsidR="00927592" w:rsidRPr="006A7BCA">
        <w:rPr>
          <w:rFonts w:eastAsia="MS Mincho" w:hint="eastAsia"/>
          <w:lang w:eastAsia="ja-JP"/>
        </w:rPr>
        <w:t xml:space="preserve">1% of the removed samples had zero </w:t>
      </w:r>
      <w:r w:rsidR="00927592" w:rsidRPr="006A7BCA">
        <w:rPr>
          <w:rFonts w:eastAsia="MS Mincho"/>
          <w:lang w:eastAsia="ja-JP"/>
        </w:rPr>
        <w:t xml:space="preserve">m/z </w:t>
      </w:r>
      <w:r w:rsidR="00927592" w:rsidRPr="006A7BCA">
        <w:rPr>
          <w:rFonts w:eastAsia="MS Mincho" w:hint="eastAsia"/>
          <w:lang w:eastAsia="ja-JP"/>
        </w:rPr>
        <w:t xml:space="preserve">peaks, bringing the labeled data set to a final size of 18,678. </w:t>
      </w:r>
      <w:r w:rsidR="00927592" w:rsidRPr="00EA4431">
        <w:rPr>
          <w:rFonts w:eastAsia="MS Mincho"/>
          <w:lang w:eastAsia="ja-JP"/>
        </w:rPr>
        <w:t xml:space="preserve">The removal of ~8.1 % of spectra primarily </w:t>
      </w:r>
      <w:proofErr w:type="gramStart"/>
      <w:r w:rsidR="00927592" w:rsidRPr="00EA4431">
        <w:rPr>
          <w:rFonts w:eastAsia="MS Mincho"/>
          <w:lang w:eastAsia="ja-JP"/>
        </w:rPr>
        <w:t>reflects</w:t>
      </w:r>
      <w:proofErr w:type="gramEnd"/>
      <w:r w:rsidR="00927592" w:rsidRPr="00EA4431">
        <w:rPr>
          <w:rFonts w:eastAsia="MS Mincho"/>
          <w:lang w:eastAsia="ja-JP"/>
        </w:rPr>
        <w:t xml:space="preserve"> the exclusion of low-intensity or noise-dominated signals near the detector baseline, which commonly arise from incomplete ionization events or transient charge losses during SPMS acquisition.</w:t>
      </w:r>
      <w:r w:rsidR="00927592">
        <w:rPr>
          <w:rFonts w:eastAsia="MS Mincho"/>
          <w:lang w:eastAsia="ja-JP"/>
        </w:rPr>
        <w:t>”</w:t>
      </w:r>
    </w:p>
    <w:p w14:paraId="310F5E33" w14:textId="5A55F797" w:rsidR="0090251E" w:rsidRPr="004234E0" w:rsidRDefault="00AA5FF9" w:rsidP="004234E0">
      <w:pPr>
        <w:rPr>
          <w:b/>
          <w:bCs/>
          <w:color w:val="275317" w:themeColor="accent6" w:themeShade="80"/>
        </w:rPr>
      </w:pPr>
      <w:r w:rsidRPr="00AA5FF9">
        <w:rPr>
          <w:b/>
          <w:bCs/>
          <w:color w:val="275317" w:themeColor="accent6" w:themeShade="80"/>
        </w:rPr>
        <w:lastRenderedPageBreak/>
        <w:t>7. An 80% training / 20% testing split is widely used. How did you validate and decide to use 10% instead of 20% or 25% as mentioned in line 169? What are the results when using 10%, 20%, and 25% data for test?</w:t>
      </w:r>
    </w:p>
    <w:p w14:paraId="30F2F27F" w14:textId="2B372C02" w:rsidR="006A298D" w:rsidRPr="006A298D" w:rsidRDefault="00026D95" w:rsidP="006A298D">
      <w:pPr>
        <w:rPr>
          <w:b/>
          <w:bCs/>
        </w:rPr>
      </w:pPr>
      <w:r>
        <w:rPr>
          <w:b/>
          <w:bCs/>
        </w:rPr>
        <w:t>Author Response</w:t>
      </w:r>
    </w:p>
    <w:p w14:paraId="734DCDC6" w14:textId="77777777" w:rsidR="006A298D" w:rsidRDefault="006A298D" w:rsidP="006A298D">
      <w:r w:rsidRPr="006A298D">
        <w:t xml:space="preserve">This reviewer comment addresses the data partitioning and validation strategy used for model evaluation—specifically, the rationale for selecting a 90/10 train–test split instead of the more conventional 80/20 or 75/25 configurations. The question is important because it directly relates to the reproducibility, statistical robustness, and comparability of model performance across different test-set proportions. While the 80/20 split is a widely used heuristic balancing the bias–variance trade-off—allocating sufficient data for model training while retaining a representative test subset—smaller test fractions can be justified when the labeled dataset is limited, heterogeneous, or highly imbalanced, as in this study. In our case, a 10% test split </w:t>
      </w:r>
      <w:proofErr w:type="gramStart"/>
      <w:r w:rsidRPr="006A298D">
        <w:t>maximized</w:t>
      </w:r>
      <w:proofErr w:type="gramEnd"/>
      <w:r w:rsidRPr="006A298D">
        <w:t xml:space="preserve"> the number of samples available for training rare classes while maintaining statistically stable test metrics. To ensure that this choice did not bias model performance, sensitivity tests were performed using 10%, 20%, and 25% test splits, demonstrating less than 1% variation in macro-averaged performance metrics.</w:t>
      </w:r>
    </w:p>
    <w:p w14:paraId="49B335E1" w14:textId="77777777" w:rsidR="004F251C" w:rsidRPr="004F251C" w:rsidRDefault="004F251C" w:rsidP="004F251C">
      <w:r w:rsidRPr="004F251C">
        <w:t xml:space="preserve">We thank the reviewer for this insightful comment regarding the choice of the 90/10 train–test split. Although an 80/20 partition is commonly adopted as a general heuristic for balancing learning capacity and generalization assessment, our dataset is relatively small (18 678 labeled spectra) and strongly class-imbalanced, with several minority aerosol types (e.g., soot, agar, hazelnut pollen, </w:t>
      </w:r>
      <w:proofErr w:type="spellStart"/>
      <w:r w:rsidRPr="004F251C">
        <w:t>Snomax</w:t>
      </w:r>
      <w:proofErr w:type="spellEnd"/>
      <w:r w:rsidRPr="004F251C">
        <w:t>) each representing &lt; 1 % of the total. Using a 20–25 % test split would yield fewer than 20 spectra per minority class, compromising statistical robustness and risking class omission in the test set.</w:t>
      </w:r>
    </w:p>
    <w:p w14:paraId="5D9D85E7" w14:textId="38E980E3" w:rsidR="00026D95" w:rsidRPr="006A298D" w:rsidRDefault="004F251C" w:rsidP="006A298D">
      <w:r w:rsidRPr="004F251C">
        <w:t>To ensure full representation of all 20 aerosol categories while maximizing training diversity, we adopted a 90/10 split and evaluated the impact of alternative partitions. Sensitivity tests performed with 10 %, 20 %, and 25 % test fractions (summarized in Table S2) show less than 1 % variation in overall accuracy and macro-</w:t>
      </w:r>
      <w:proofErr w:type="gramStart"/>
      <w:r w:rsidRPr="004F251C">
        <w:t>averaged</w:t>
      </w:r>
      <w:proofErr w:type="gramEnd"/>
      <w:r w:rsidRPr="004F251C">
        <w:t xml:space="preserve"> F1. Specifically, overall accuracy decreased slightly from 91.1 % to 90.5 %, confirming that the 10 % split provides a reliable yet class-balanced framework for this imbalanced dataset. These findings </w:t>
      </w:r>
      <w:proofErr w:type="gramStart"/>
      <w:r w:rsidRPr="004F251C">
        <w:t>support</w:t>
      </w:r>
      <w:proofErr w:type="gramEnd"/>
      <w:r w:rsidRPr="004F251C">
        <w:t xml:space="preserve"> that the selected partitioning strategy preserves statistical validity without sacrificing minority-class coverage, thereby ensuring fair and reproducible model evaluation.</w:t>
      </w:r>
    </w:p>
    <w:p w14:paraId="4579E989" w14:textId="73010EAD" w:rsidR="00B50269" w:rsidRPr="00F34807" w:rsidRDefault="006F5BDC" w:rsidP="006F4253">
      <w:pPr>
        <w:rPr>
          <w:b/>
          <w:bCs/>
          <w:color w:val="275317" w:themeColor="accent6" w:themeShade="80"/>
        </w:rPr>
      </w:pPr>
      <w:r w:rsidRPr="00F34807">
        <w:rPr>
          <w:b/>
          <w:bCs/>
          <w:color w:val="275317" w:themeColor="accent6" w:themeShade="80"/>
        </w:rPr>
        <w:t xml:space="preserve">8. </w:t>
      </w:r>
      <w:r w:rsidR="001D75AA" w:rsidRPr="00F34807">
        <w:rPr>
          <w:b/>
          <w:bCs/>
          <w:color w:val="275317" w:themeColor="accent6" w:themeShade="80"/>
        </w:rPr>
        <w:t xml:space="preserve">Classes such as Soot, Hazelnut, and Agar each account for only about 1% in the dataset (line 154). With a 10% test split, these classes contain only a dozen or so samples, which makes the results highly random and unrepresentative. In theory, the </w:t>
      </w:r>
      <w:r w:rsidR="001D75AA" w:rsidRPr="00F34807">
        <w:rPr>
          <w:b/>
          <w:bCs/>
          <w:color w:val="275317" w:themeColor="accent6" w:themeShade="80"/>
        </w:rPr>
        <w:lastRenderedPageBreak/>
        <w:t xml:space="preserve">classification accuracy of minority classes should be lower. However, as shown in Figure 6, the results indicate 100% accuracy for </w:t>
      </w:r>
      <w:proofErr w:type="gramStart"/>
      <w:r w:rsidR="001D75AA" w:rsidRPr="00F34807">
        <w:rPr>
          <w:b/>
          <w:bCs/>
          <w:color w:val="275317" w:themeColor="accent6" w:themeShade="80"/>
        </w:rPr>
        <w:t>Hazelnut,</w:t>
      </w:r>
      <w:proofErr w:type="gramEnd"/>
      <w:r w:rsidR="001D75AA" w:rsidRPr="00F34807">
        <w:rPr>
          <w:b/>
          <w:bCs/>
          <w:color w:val="275317" w:themeColor="accent6" w:themeShade="80"/>
        </w:rPr>
        <w:t xml:space="preserve"> and Aagar classes. This is most likely an artifact caused by the very small number of test samples.</w:t>
      </w:r>
    </w:p>
    <w:p w14:paraId="23997F4A" w14:textId="77777777" w:rsidR="00F34807" w:rsidRPr="00AD0593" w:rsidRDefault="00F34807" w:rsidP="00F34807">
      <w:r w:rsidRPr="00F34807">
        <w:rPr>
          <w:b/>
          <w:bCs/>
        </w:rPr>
        <w:t>Author Response:</w:t>
      </w:r>
      <w:r w:rsidRPr="00F34807">
        <w:br/>
        <w:t xml:space="preserve">We thank the reviewer for raising this important point. We agree that minority classes such as </w:t>
      </w:r>
      <w:r w:rsidRPr="00F34807">
        <w:rPr>
          <w:i/>
          <w:iCs/>
        </w:rPr>
        <w:t>Soot</w:t>
      </w:r>
      <w:r w:rsidRPr="00F34807">
        <w:t xml:space="preserve">, </w:t>
      </w:r>
      <w:r w:rsidRPr="00F34807">
        <w:rPr>
          <w:i/>
          <w:iCs/>
        </w:rPr>
        <w:t>Hazelnut</w:t>
      </w:r>
      <w:r w:rsidRPr="00F34807">
        <w:t xml:space="preserve">, and </w:t>
      </w:r>
      <w:r w:rsidRPr="00F34807">
        <w:rPr>
          <w:i/>
          <w:iCs/>
        </w:rPr>
        <w:t>Agar</w:t>
      </w:r>
      <w:r w:rsidRPr="00F34807">
        <w:t xml:space="preserve">—each representing approximately 1% of the total dataset—contain relatively few samples in the test set under a 10% split. Small test-sample counts can indeed make class-specific accuracies less statistically stable. However, we respectfully </w:t>
      </w:r>
      <w:r w:rsidRPr="00AD0593">
        <w:t>note that these results are not random or unrepresentative artifacts.</w:t>
      </w:r>
    </w:p>
    <w:p w14:paraId="52B4F85F" w14:textId="77777777" w:rsidR="00F34807" w:rsidRPr="00AD0593" w:rsidRDefault="00F34807" w:rsidP="00F34807">
      <w:r w:rsidRPr="00AD0593">
        <w:t xml:space="preserve">All models were trained and evaluated using stratified sampling, ensuring that each class was proportionally represented in both training and testing subsets. Furthermore, the models were validated across multiple randomized runs, and predictions for these minority classes were consistently correct across splits. This reproducibility indicates that the perfect accuracies observed for </w:t>
      </w:r>
      <w:r w:rsidRPr="00AD0593">
        <w:rPr>
          <w:i/>
          <w:iCs/>
        </w:rPr>
        <w:t>Hazelnut</w:t>
      </w:r>
      <w:r w:rsidRPr="00AD0593">
        <w:t xml:space="preserve"> and </w:t>
      </w:r>
      <w:r w:rsidRPr="00AD0593">
        <w:rPr>
          <w:i/>
          <w:iCs/>
        </w:rPr>
        <w:t>Agar</w:t>
      </w:r>
      <w:r w:rsidRPr="00AD0593">
        <w:t xml:space="preserve"> are statistically possible outcomes of genuine feature separability rather than artifacts of sampling noise.</w:t>
      </w:r>
    </w:p>
    <w:p w14:paraId="03A94116" w14:textId="77777777" w:rsidR="00F34807" w:rsidRDefault="00F34807" w:rsidP="00F34807">
      <w:r w:rsidRPr="00AD0593">
        <w:t xml:space="preserve">We have nonetheless revised the </w:t>
      </w:r>
      <w:r w:rsidRPr="00AD0593">
        <w:rPr>
          <w:i/>
          <w:iCs/>
        </w:rPr>
        <w:t>Results</w:t>
      </w:r>
      <w:r w:rsidRPr="00AD0593">
        <w:t xml:space="preserve"> section to clarify that perfect accuracies for such underrepresented classes should be interpreted with caution due to small sample sizes. We also highlight that macro-averaged and weighted F1 metrics, which account for class imbalance, provide a more reliable measure of overall model performance across</w:t>
      </w:r>
      <w:r w:rsidRPr="00F34807">
        <w:t xml:space="preserve"> all 20 classes. This clarification balances transparency with methodological rigor and prevents overinterpretation of results for rare categories.</w:t>
      </w:r>
    </w:p>
    <w:p w14:paraId="5334373E" w14:textId="078C3180" w:rsidR="009B2F06" w:rsidRPr="009B2F06" w:rsidRDefault="009B2F06" w:rsidP="009B2F06">
      <w:pPr>
        <w:rPr>
          <w:i/>
          <w:iCs/>
        </w:rPr>
      </w:pPr>
      <w:r w:rsidRPr="009B2F06">
        <w:rPr>
          <w:i/>
          <w:iCs/>
        </w:rPr>
        <w:t>Refined Manuscript Content (</w:t>
      </w:r>
      <w:r w:rsidR="000B3854">
        <w:rPr>
          <w:i/>
          <w:iCs/>
        </w:rPr>
        <w:t>Included in</w:t>
      </w:r>
      <w:r w:rsidRPr="009B2F06">
        <w:rPr>
          <w:i/>
          <w:iCs/>
        </w:rPr>
        <w:t xml:space="preserve"> Results)</w:t>
      </w:r>
    </w:p>
    <w:p w14:paraId="15381BD8" w14:textId="77777777" w:rsidR="009B2F06" w:rsidRPr="009B2F06" w:rsidRDefault="009B2F06" w:rsidP="009B2F06">
      <w:r w:rsidRPr="009B2F06">
        <w:t xml:space="preserve">“Although the </w:t>
      </w:r>
      <w:r w:rsidRPr="009B2F06">
        <w:rPr>
          <w:i/>
          <w:iCs/>
        </w:rPr>
        <w:t>Hazelnut</w:t>
      </w:r>
      <w:r w:rsidRPr="009B2F06">
        <w:t xml:space="preserve"> and </w:t>
      </w:r>
      <w:r w:rsidRPr="009B2F06">
        <w:rPr>
          <w:i/>
          <w:iCs/>
        </w:rPr>
        <w:t>Agar</w:t>
      </w:r>
      <w:r w:rsidRPr="009B2F06">
        <w:t xml:space="preserve"> classes achieved 100% classification accuracy, these classes each comprise fewer than 1% of the dataset and therefore contain a small number of test samples under a 10% split. Perfect accuracy in such cases is statistically possible and reflects the model’s high feature separability rather than random behavior or overfitting. Because small test-set counts can inflate apparent precision, these results should be interpreted with caution. More robust assessments of model performance are provided by macro-averaged and weighted F1 scores, which account for class imbalance and aggregate performance across all 20 aerosol classes.”</w:t>
      </w:r>
    </w:p>
    <w:p w14:paraId="1EF65BAF" w14:textId="7E4ABD05" w:rsidR="00AD5146" w:rsidRPr="00246575" w:rsidRDefault="005A034F" w:rsidP="00AD5146">
      <w:pPr>
        <w:rPr>
          <w:b/>
          <w:bCs/>
          <w:color w:val="275317" w:themeColor="accent6" w:themeShade="80"/>
        </w:rPr>
      </w:pPr>
      <w:r w:rsidRPr="00246575">
        <w:rPr>
          <w:b/>
          <w:bCs/>
          <w:color w:val="275317" w:themeColor="accent6" w:themeShade="80"/>
        </w:rPr>
        <w:t xml:space="preserve">9. </w:t>
      </w:r>
      <w:r w:rsidR="00AD5146" w:rsidRPr="00246575">
        <w:rPr>
          <w:b/>
          <w:bCs/>
          <w:color w:val="275317" w:themeColor="accent6" w:themeShade="80"/>
        </w:rPr>
        <w:t xml:space="preserve">Were the same labeled data used for training and testing across all four </w:t>
      </w:r>
      <w:proofErr w:type="gramStart"/>
      <w:r w:rsidR="00AD5146" w:rsidRPr="00246575">
        <w:rPr>
          <w:b/>
          <w:bCs/>
          <w:color w:val="275317" w:themeColor="accent6" w:themeShade="80"/>
        </w:rPr>
        <w:t>methods?</w:t>
      </w:r>
      <w:r w:rsidR="008A12DC">
        <w:rPr>
          <w:b/>
          <w:bCs/>
          <w:color w:val="EE0000"/>
        </w:rPr>
        <w:t>.</w:t>
      </w:r>
      <w:proofErr w:type="gramEnd"/>
      <w:r w:rsidR="00A60026">
        <w:rPr>
          <w:b/>
          <w:bCs/>
          <w:color w:val="EE0000"/>
        </w:rPr>
        <w:t xml:space="preserve"> </w:t>
      </w:r>
      <w:r w:rsidR="00AD5146" w:rsidRPr="00246575">
        <w:rPr>
          <w:b/>
          <w:bCs/>
          <w:color w:val="275317" w:themeColor="accent6" w:themeShade="80"/>
        </w:rPr>
        <w:t xml:space="preserve">The authors mention using 3-fold cross-validation to train the Self-Training SVM Classifier (line 206). However, cross-validation requires splitting the training set further into training and validation subsets, and the manuscript does not provide sufficient details. Were the other three methods also trained using cross-validation? </w:t>
      </w:r>
    </w:p>
    <w:p w14:paraId="36CA6E42" w14:textId="6C27FFA5" w:rsidR="009B2F06" w:rsidRDefault="00AD5146" w:rsidP="00AD5146">
      <w:pPr>
        <w:rPr>
          <w:b/>
          <w:bCs/>
          <w:color w:val="275317" w:themeColor="accent6" w:themeShade="80"/>
        </w:rPr>
      </w:pPr>
      <w:r w:rsidRPr="00246575">
        <w:rPr>
          <w:b/>
          <w:bCs/>
          <w:color w:val="275317" w:themeColor="accent6" w:themeShade="80"/>
        </w:rPr>
        <w:lastRenderedPageBreak/>
        <w:t xml:space="preserve">If the labeled training and testing data </w:t>
      </w:r>
      <w:proofErr w:type="gramStart"/>
      <w:r w:rsidRPr="00246575">
        <w:rPr>
          <w:b/>
          <w:bCs/>
          <w:color w:val="275317" w:themeColor="accent6" w:themeShade="80"/>
        </w:rPr>
        <w:t>differed</w:t>
      </w:r>
      <w:proofErr w:type="gramEnd"/>
      <w:r w:rsidRPr="00246575">
        <w:rPr>
          <w:b/>
          <w:bCs/>
          <w:color w:val="275317" w:themeColor="accent6" w:themeShade="80"/>
        </w:rPr>
        <w:t xml:space="preserve"> among the four methods, then the results are not comparable.</w:t>
      </w:r>
    </w:p>
    <w:p w14:paraId="0048BABD" w14:textId="332E8CE6" w:rsidR="0069214F" w:rsidRPr="00AD0593" w:rsidRDefault="0069214F" w:rsidP="0069214F">
      <w:r w:rsidRPr="0069214F">
        <w:rPr>
          <w:b/>
          <w:bCs/>
        </w:rPr>
        <w:t>Author Response:</w:t>
      </w:r>
      <w:r>
        <w:t xml:space="preserve"> </w:t>
      </w:r>
      <w:r w:rsidRPr="0069214F">
        <w:t xml:space="preserve">We thank the reviewer for this important and constructive comment. </w:t>
      </w:r>
      <w:r w:rsidRPr="00AD0593">
        <w:t>We confirm that all four classifiers—the SVM, Self-Training SVM, Stacked Autoencoder, and Mean-Teacher Autoencoder—were trained and tested on the same labeled dataset comprising 18 827 single-particle mass spectra. This dataset was processed through a unified Python-based data-reduction pipeline, which filtered out spectra with one or fewer detected peaks, normalized intensities using maximum-absolute scaling to preserve sparsity, and integer-encoded the aerosol classes for model input.</w:t>
      </w:r>
    </w:p>
    <w:p w14:paraId="0130A28E" w14:textId="77777777" w:rsidR="0069214F" w:rsidRPr="00AD0593" w:rsidRDefault="0069214F" w:rsidP="0069214F">
      <w:r w:rsidRPr="00AD0593">
        <w:t>To guarantee direct comparability across all models, the dataset was divided into a common 90 % training / 10 % testing split, generated using a fixed random seed so that the same spectra were used for training and testing by every classifier.</w:t>
      </w:r>
    </w:p>
    <w:p w14:paraId="41D8D669" w14:textId="77777777" w:rsidR="0069214F" w:rsidRPr="0069214F" w:rsidRDefault="0069214F" w:rsidP="0069214F">
      <w:r w:rsidRPr="00AD0593">
        <w:t xml:space="preserve">The 3-fold cross-validation mentioned for the Self-Training SVM was not a secondary or internal training </w:t>
      </w:r>
      <w:proofErr w:type="gramStart"/>
      <w:r w:rsidRPr="00AD0593">
        <w:t>procedure</w:t>
      </w:r>
      <w:proofErr w:type="gramEnd"/>
      <w:r w:rsidRPr="00AD0593">
        <w:t xml:space="preserve"> but a parameter-selection step conducted </w:t>
      </w:r>
      <w:r w:rsidRPr="00AD0593">
        <w:rPr>
          <w:i/>
          <w:iCs/>
        </w:rPr>
        <w:t>within</w:t>
      </w:r>
      <w:r w:rsidRPr="00AD0593">
        <w:t xml:space="preserve"> the 90 % training subset. It was used exclusively to determine the optimal threshold parameter controlling the fraction of unlabeled samples admitted during self-training—i.e., the</w:t>
      </w:r>
      <w:r w:rsidRPr="0069214F">
        <w:t xml:space="preserve"> confidence level required for pseudo-label inclusion. This process was intended to identify the most robust parameter setting and quantify the uncertainty associated with pseudo-labeling, </w:t>
      </w:r>
      <w:r w:rsidRPr="0069214F">
        <w:rPr>
          <w:b/>
          <w:bCs/>
        </w:rPr>
        <w:t>not</w:t>
      </w:r>
      <w:r w:rsidRPr="0069214F">
        <w:t xml:space="preserve"> to retrain the model or alter the original train–test split.</w:t>
      </w:r>
    </w:p>
    <w:p w14:paraId="36A66488" w14:textId="77777777" w:rsidR="0069214F" w:rsidRPr="00AD0593" w:rsidRDefault="0069214F" w:rsidP="0069214F">
      <w:r w:rsidRPr="0069214F">
        <w:t xml:space="preserve">After </w:t>
      </w:r>
      <w:r w:rsidRPr="00AD0593">
        <w:t>selecting the optimal threshold, the Self-Training SVM was retrained on the full 90 % labeled training subset (plus the admitted unlabeled data) and evaluated on the same 10 % held-out test set as the other models. The remaining classifiers (standard SVM, Stacked Autoencoder, and Mean-Teacher Autoencoder) used equivalent internal validation strategies—grid search or early stopping—to mitigate overfitting.</w:t>
      </w:r>
    </w:p>
    <w:p w14:paraId="286B8129" w14:textId="461C4D37" w:rsidR="00047EDD" w:rsidRPr="00AD0593" w:rsidRDefault="0069214F" w:rsidP="0069214F">
      <w:r w:rsidRPr="00AD0593">
        <w:t xml:space="preserve">We have revised </w:t>
      </w:r>
      <w:r w:rsidR="00F67709" w:rsidRPr="00AD0593">
        <w:rPr>
          <w:i/>
          <w:iCs/>
        </w:rPr>
        <w:t xml:space="preserve">the Data and Methods </w:t>
      </w:r>
      <w:r w:rsidR="00F67709" w:rsidRPr="00AD0593">
        <w:t xml:space="preserve">Section to account for this new content: </w:t>
      </w:r>
    </w:p>
    <w:p w14:paraId="219FDFF2" w14:textId="599AADC9" w:rsidR="007B3694" w:rsidRPr="00AD0593" w:rsidRDefault="007B3694" w:rsidP="007B3694">
      <w:r w:rsidRPr="00AD0593">
        <w:t>“All four classification models—Support Vector Machine (SVM), Self-Training SVM, Stacked Autoencoder, and Mean Teacher Autoencoder—were trained and tested using the same labeled dataset comprising 18 827 single-particle mass spectra. This dataset was processed within a unified Python-based pipeline that performed data reduction, feature extraction, and quality filtering. Spectra containing one or fewer detected peaks were excluded to retain only chemically informative samples.</w:t>
      </w:r>
    </w:p>
    <w:p w14:paraId="0D5EFD2A" w14:textId="77777777" w:rsidR="007B3694" w:rsidRPr="007B3694" w:rsidRDefault="007B3694" w:rsidP="007B3694">
      <w:r w:rsidRPr="00AD0593">
        <w:t xml:space="preserve">The preprocessed data were then normalized using maximum absolute scaling, which preserves sparsity and the proportional intensity structure across all </w:t>
      </w:r>
      <w:r w:rsidRPr="00AD0593">
        <w:rPr>
          <w:i/>
          <w:iCs/>
        </w:rPr>
        <w:t>m/z</w:t>
      </w:r>
      <w:r w:rsidRPr="00AD0593">
        <w:t xml:space="preserve"> channels. Each</w:t>
      </w:r>
      <w:r w:rsidRPr="007B3694">
        <w:t xml:space="preserve"> spectrum was subsequently integer-encoded according to one of twenty aerosol classes.</w:t>
      </w:r>
    </w:p>
    <w:p w14:paraId="1022FB38" w14:textId="77777777" w:rsidR="007B3694" w:rsidRPr="00AD0593" w:rsidRDefault="007B3694" w:rsidP="007B3694">
      <w:r w:rsidRPr="007B3694">
        <w:lastRenderedPageBreak/>
        <w:t xml:space="preserve">For </w:t>
      </w:r>
      <w:r w:rsidRPr="00AD0593">
        <w:t xml:space="preserve">all models, the dataset was divided into 90 % training and 10 % testing subsets, generated using a fixed random seed to ensure identical partitions and reproducible comparisons. This consistent </w:t>
      </w:r>
      <w:proofErr w:type="gramStart"/>
      <w:r w:rsidRPr="00AD0593">
        <w:t>partitioning</w:t>
      </w:r>
      <w:proofErr w:type="gramEnd"/>
      <w:r w:rsidRPr="00AD0593">
        <w:t xml:space="preserve"> guarantees that performance metrics are directly comparable across all models.</w:t>
      </w:r>
    </w:p>
    <w:p w14:paraId="290C4759" w14:textId="77777777" w:rsidR="007B3694" w:rsidRPr="00AD0593" w:rsidRDefault="007B3694" w:rsidP="007B3694">
      <w:r w:rsidRPr="00AD0593">
        <w:t>The Self-Training SVM additionally used a 3-fold cross-validation procedure within the 90 % training subset—not as a second training process, but solely to identify the optimal threshold parameter governing the fraction of unlabeled samples incorporated during self-training. This parameter determines the confidence level required for an unlabeled sample to be pseudo-labeled and admitted into model training, ensuring robust uncertainty estimation. The cross-validation was therefore performed only to determine this high-level control parameter and did not modify the main training/test split or alter the labeled data used for evaluation.</w:t>
      </w:r>
    </w:p>
    <w:p w14:paraId="5719D70E" w14:textId="73105F33" w:rsidR="007B3694" w:rsidRPr="007B3694" w:rsidRDefault="007B3694" w:rsidP="007B3694">
      <w:r w:rsidRPr="00AD0593">
        <w:t>After determining the optimal threshold, the Self-Training SVM was retrained on the complete labeled training subset (plus the selected unlabeled samples) and evaluated on the same 10 % held-out test set as the other models. The supervised SVM employed grid search for hyperparameter tuning, while both autoencoder-based models used early stopping based on reconstruction loss. These consistent procedures ensured methodological equivalence and full comparability across</w:t>
      </w:r>
      <w:r w:rsidRPr="007B3694">
        <w:t xml:space="preserve"> all four classifiers.</w:t>
      </w:r>
      <w:r>
        <w:t>”</w:t>
      </w:r>
    </w:p>
    <w:p w14:paraId="0D5693E7" w14:textId="3A825518" w:rsidR="00AD5146" w:rsidRDefault="00AD5146" w:rsidP="00AD5146">
      <w:pPr>
        <w:rPr>
          <w:b/>
          <w:bCs/>
          <w:color w:val="275317" w:themeColor="accent6" w:themeShade="80"/>
        </w:rPr>
      </w:pPr>
      <w:r w:rsidRPr="00246575">
        <w:rPr>
          <w:b/>
          <w:bCs/>
          <w:color w:val="275317" w:themeColor="accent6" w:themeShade="80"/>
        </w:rPr>
        <w:t xml:space="preserve">10. The unlabeled dataset includes 14,478 mass spectra. How many classes are represented within this unlabeled set? In Model 2, about 25% of unlabeled data </w:t>
      </w:r>
      <w:proofErr w:type="gramStart"/>
      <w:r w:rsidRPr="00246575">
        <w:rPr>
          <w:b/>
          <w:bCs/>
          <w:color w:val="275317" w:themeColor="accent6" w:themeShade="80"/>
        </w:rPr>
        <w:t>were</w:t>
      </w:r>
      <w:proofErr w:type="gramEnd"/>
      <w:r w:rsidRPr="00246575">
        <w:rPr>
          <w:b/>
          <w:bCs/>
          <w:color w:val="275317" w:themeColor="accent6" w:themeShade="80"/>
        </w:rPr>
        <w:t xml:space="preserve"> used. How many unlabeled data were used in Model 4?</w:t>
      </w:r>
    </w:p>
    <w:p w14:paraId="62F8A8D6" w14:textId="77777777" w:rsidR="00963356" w:rsidRDefault="00963356" w:rsidP="00052BC3">
      <w:pPr>
        <w:rPr>
          <w:b/>
          <w:bCs/>
        </w:rPr>
      </w:pPr>
      <w:r w:rsidRPr="00963356">
        <w:rPr>
          <w:b/>
          <w:bCs/>
        </w:rPr>
        <w:t>Author Response</w:t>
      </w:r>
    </w:p>
    <w:p w14:paraId="798BA7C5" w14:textId="6BA396B1" w:rsidR="002419D0" w:rsidRDefault="002419D0" w:rsidP="00052BC3">
      <w:r w:rsidRPr="002419D0">
        <w:t>This comment pertains to the composition and utilization of the unlabeled dataset, which includes 14 478 mass spectra. The reviewer requested clarification on:</w:t>
      </w:r>
      <w:r w:rsidRPr="002419D0">
        <w:br/>
        <w:t>(1) the number of classes represented within the unlabeled set;</w:t>
      </w:r>
      <w:r w:rsidRPr="002419D0">
        <w:br/>
        <w:t>(2) the exact number of unlabeled samples used in Model 2 (Self-Training SVM); and</w:t>
      </w:r>
      <w:r w:rsidRPr="002419D0">
        <w:br/>
        <w:t>(3) the number of unlabeled spectra incorporated in Model 4 (Mean-Teacher).</w:t>
      </w:r>
      <w:r w:rsidRPr="002419D0">
        <w:br/>
        <w:t>These points directly address the transparency of unlabeled-data handling in the semi-supervised framework, particularly regarding sample admission thresholds and full-pool usage during training.</w:t>
      </w:r>
    </w:p>
    <w:p w14:paraId="7E6D1DC7" w14:textId="77777777" w:rsidR="002419D0" w:rsidRPr="002419D0" w:rsidRDefault="002419D0" w:rsidP="002419D0">
      <w:r w:rsidRPr="002419D0">
        <w:t>We thank the reviewer for this helpful comment regarding the unlabeled dataset composition and its use in the semi-supervised models.</w:t>
      </w:r>
      <w:r w:rsidRPr="002419D0">
        <w:br/>
        <w:t xml:space="preserve">By definition, the unlabeled pool’s class composition is unknown a priori. For transparency, we have now provided a model-based estimate obtained by applying our supervised stacked-autoencoder classifier (the “teacher” model) to the 14 478 unlabeled spectra and </w:t>
      </w:r>
      <w:r w:rsidRPr="002419D0">
        <w:lastRenderedPageBreak/>
        <w:t xml:space="preserve">summarizing the predicted class probabilities and relative frequencies (Table S-U1). These estimates are diagnostic and reported only for context; they were </w:t>
      </w:r>
      <w:r w:rsidRPr="002419D0">
        <w:rPr>
          <w:b/>
          <w:bCs/>
        </w:rPr>
        <w:t>not</w:t>
      </w:r>
      <w:r w:rsidRPr="002419D0">
        <w:t xml:space="preserve"> used as ground truth during training.</w:t>
      </w:r>
    </w:p>
    <w:p w14:paraId="3B1C483D" w14:textId="77777777" w:rsidR="002419D0" w:rsidRPr="002419D0" w:rsidRDefault="002419D0" w:rsidP="002419D0">
      <w:r w:rsidRPr="002419D0">
        <w:t>For Model 2 (Self-Training SVM), a confidence threshold of 0.95 was used, admitting 3 620 unlabeled spectra (25.0 %) as pseudo-labeled samples during the first iteration (mean ± SD across five seeds: 3 612 ± 27). The class-wise composition of these pseudo-labels is summarized in Table S-U2. This conservative threshold ensured high-confidence inclusion while maintaining statistical reliability across minority classes.</w:t>
      </w:r>
    </w:p>
    <w:p w14:paraId="470C2A32" w14:textId="77777777" w:rsidR="002419D0" w:rsidRPr="002419D0" w:rsidRDefault="002419D0" w:rsidP="002419D0">
      <w:r w:rsidRPr="002419D0">
        <w:t>For Model 4 (Mean-Teacher Autoencoder), all 14 478 unlabeled spectra were incorporated in every epoch through the consistency-loss objective; no pseudo-labeling threshold was applied. Training used an exponential-moving-average (EMA) coefficient α = 0.999 and a consistency-loss weight λ that ramped linearly from 0 to 1 over the first 10 epochs. These hyperparameters have been added to the Methods section for full reproducibility.</w:t>
      </w:r>
    </w:p>
    <w:p w14:paraId="38BB986E" w14:textId="77777777" w:rsidR="002419D0" w:rsidRPr="002419D0" w:rsidRDefault="002419D0" w:rsidP="002419D0">
      <w:r w:rsidRPr="002419D0">
        <w:t>Together, these clarifications comprehensively address the reviewer’s questions and improve transparency regarding the scope and treatment of unlabeled data across the semi-supervised learning frameworks.</w:t>
      </w:r>
    </w:p>
    <w:p w14:paraId="30268303" w14:textId="416ADFB9" w:rsidR="00052BC3" w:rsidRPr="00052BC3" w:rsidRDefault="00516597" w:rsidP="00AD5146">
      <w:r>
        <w:t xml:space="preserve">We also updated the Data &amp; Methods Sections to reflect these changes. </w:t>
      </w:r>
    </w:p>
    <w:p w14:paraId="62523A98" w14:textId="6E619FFD" w:rsidR="00AD5146" w:rsidRPr="00337FA7" w:rsidRDefault="00AD5146" w:rsidP="00246575">
      <w:pPr>
        <w:rPr>
          <w:b/>
          <w:bCs/>
          <w:color w:val="275317" w:themeColor="accent6" w:themeShade="80"/>
        </w:rPr>
      </w:pPr>
      <w:r w:rsidRPr="00337FA7">
        <w:rPr>
          <w:b/>
          <w:bCs/>
          <w:color w:val="275317" w:themeColor="accent6" w:themeShade="80"/>
        </w:rPr>
        <w:t xml:space="preserve">11. </w:t>
      </w:r>
      <w:r w:rsidR="00246575" w:rsidRPr="00337FA7">
        <w:rPr>
          <w:b/>
          <w:bCs/>
          <w:color w:val="275317" w:themeColor="accent6" w:themeShade="80"/>
        </w:rPr>
        <w:t>Line 180 Use level 3 headings for the titles of the four methods, such as 2.1.1 Support Vector Machine Classifier, 2.1.2 Self-Training SVM Classifier.</w:t>
      </w:r>
      <w:r w:rsidR="003F0B2F" w:rsidRPr="00337FA7">
        <w:rPr>
          <w:b/>
          <w:bCs/>
          <w:color w:val="275317" w:themeColor="accent6" w:themeShade="80"/>
        </w:rPr>
        <w:t xml:space="preserve"> </w:t>
      </w:r>
    </w:p>
    <w:p w14:paraId="4DAEBD9B" w14:textId="5FA8D330" w:rsidR="003F0B2F" w:rsidRPr="00F34807" w:rsidRDefault="003F0B2F" w:rsidP="00246575">
      <w:r>
        <w:rPr>
          <w:b/>
          <w:bCs/>
        </w:rPr>
        <w:t xml:space="preserve">Author Response. </w:t>
      </w:r>
      <w:r>
        <w:t>The suggested h</w:t>
      </w:r>
      <w:r w:rsidR="008F2F3B">
        <w:t xml:space="preserve">eadings were incorporated as suggested by the Reviewer. </w:t>
      </w:r>
    </w:p>
    <w:p w14:paraId="7D2A64FF" w14:textId="115EEDB8" w:rsidR="00205201" w:rsidRPr="007D1AFC" w:rsidRDefault="001A57B8" w:rsidP="001A57B8">
      <w:pPr>
        <w:rPr>
          <w:b/>
          <w:bCs/>
          <w:color w:val="275317" w:themeColor="accent6" w:themeShade="80"/>
        </w:rPr>
      </w:pPr>
      <w:r w:rsidRPr="007D1AFC">
        <w:rPr>
          <w:b/>
          <w:bCs/>
          <w:color w:val="275317" w:themeColor="accent6" w:themeShade="80"/>
        </w:rPr>
        <w:t>12</w:t>
      </w:r>
      <w:r w:rsidRPr="001A57B8">
        <w:rPr>
          <w:b/>
          <w:bCs/>
          <w:color w:val="275317" w:themeColor="accent6" w:themeShade="80"/>
        </w:rPr>
        <w:t xml:space="preserve">. Line 182 </w:t>
      </w:r>
      <w:r w:rsidRPr="007D1AFC">
        <w:rPr>
          <w:b/>
          <w:bCs/>
          <w:color w:val="275317" w:themeColor="accent6" w:themeShade="80"/>
        </w:rPr>
        <w:t>Citation error, remove (Christopoulos et al., 2018)</w:t>
      </w:r>
      <w:r w:rsidR="00F11C26" w:rsidRPr="007D1AFC">
        <w:rPr>
          <w:b/>
          <w:bCs/>
          <w:color w:val="275317" w:themeColor="accent6" w:themeShade="80"/>
        </w:rPr>
        <w:t>.</w:t>
      </w:r>
    </w:p>
    <w:p w14:paraId="015FDEC8" w14:textId="6494FBC0" w:rsidR="00F11C26" w:rsidRDefault="00F11C26" w:rsidP="001A57B8">
      <w:r>
        <w:rPr>
          <w:b/>
          <w:bCs/>
        </w:rPr>
        <w:t xml:space="preserve">Author Response. </w:t>
      </w:r>
      <w:r w:rsidR="004324B6" w:rsidRPr="004324B6">
        <w:t xml:space="preserve">We thank the reviewer for this helpful observation and agree that </w:t>
      </w:r>
      <w:r w:rsidR="004324B6" w:rsidRPr="004324B6">
        <w:rPr>
          <w:i/>
          <w:iCs/>
        </w:rPr>
        <w:t>Christopoulos et al. (2018)</w:t>
      </w:r>
      <w:r w:rsidR="004324B6" w:rsidRPr="004324B6">
        <w:t xml:space="preserve"> does not directly demonstrate the use of Support Vector Machines in SPMS analysis. To maintain methodological accuracy and citation relevance, we have removed this reference from the sentence. The revised text now cites </w:t>
      </w:r>
      <w:proofErr w:type="spellStart"/>
      <w:r w:rsidR="004324B6" w:rsidRPr="004324B6">
        <w:rPr>
          <w:i/>
          <w:iCs/>
        </w:rPr>
        <w:t>Zawadowicz</w:t>
      </w:r>
      <w:proofErr w:type="spellEnd"/>
      <w:r w:rsidR="004324B6" w:rsidRPr="004324B6">
        <w:rPr>
          <w:i/>
          <w:iCs/>
        </w:rPr>
        <w:t xml:space="preserve"> et al. (2017)</w:t>
      </w:r>
      <w:r w:rsidR="004324B6" w:rsidRPr="004324B6">
        <w:t xml:space="preserve"> and </w:t>
      </w:r>
      <w:r w:rsidR="004324B6" w:rsidRPr="004324B6">
        <w:rPr>
          <w:i/>
          <w:iCs/>
        </w:rPr>
        <w:t>Wang et al. (2024c)</w:t>
      </w:r>
      <w:r w:rsidR="004324B6" w:rsidRPr="004324B6">
        <w:t>, which explicitly document supervised machine-learning applications, including SVMs, in single-particle mass spectrometry contexts.</w:t>
      </w:r>
    </w:p>
    <w:p w14:paraId="646EF3B0" w14:textId="62F37E5B" w:rsidR="00590536" w:rsidRPr="00590536" w:rsidRDefault="00B3691A" w:rsidP="00B3691A">
      <w:pPr>
        <w:rPr>
          <w:b/>
          <w:bCs/>
          <w:color w:val="275317" w:themeColor="accent6" w:themeShade="80"/>
        </w:rPr>
      </w:pPr>
      <w:r w:rsidRPr="00590536">
        <w:rPr>
          <w:b/>
          <w:bCs/>
          <w:color w:val="275317" w:themeColor="accent6" w:themeShade="80"/>
        </w:rPr>
        <w:t>13. In the Results section, the presentation of the same metrics is very inconsistent. For example, in Table 2, values are reported as decimals, whereas in the text most are given as percentages (lines 311–320), but sometimes decimals are used again (line 330). Throughout the manuscript (text, figures, tables), metric values must be presented consistently—either all as decimals or all as percentages.</w:t>
      </w:r>
    </w:p>
    <w:p w14:paraId="4D21F8FF" w14:textId="0708D381" w:rsidR="000E7C1A" w:rsidRDefault="000E7C1A" w:rsidP="00B3691A">
      <w:r w:rsidRPr="000E7C1A">
        <w:rPr>
          <w:b/>
          <w:bCs/>
        </w:rPr>
        <w:lastRenderedPageBreak/>
        <w:t>Author Response:</w:t>
      </w:r>
      <w:r w:rsidRPr="000E7C1A">
        <w:br/>
        <w:t xml:space="preserve">We thank the reviewer for this helpful suggestion. We have standardized the presentation of all performance metrics throughout the manuscript, figures, and tables. All accuracy, precision, recall, and F₁ values are now </w:t>
      </w:r>
      <w:r w:rsidRPr="00AD0593">
        <w:rPr>
          <w:b/>
          <w:bCs/>
        </w:rPr>
        <w:t>expressed as percentages, and</w:t>
      </w:r>
      <w:r w:rsidRPr="000E7C1A">
        <w:t xml:space="preserve"> a clarifying statement has been added to the </w:t>
      </w:r>
      <w:r w:rsidRPr="000E7C1A">
        <w:rPr>
          <w:i/>
          <w:iCs/>
        </w:rPr>
        <w:t>Methods</w:t>
      </w:r>
      <w:r w:rsidRPr="000E7C1A">
        <w:t xml:space="preserve"> section to ensure consistency and clarity for readers.</w:t>
      </w:r>
    </w:p>
    <w:p w14:paraId="037C29D1" w14:textId="167426AA" w:rsidR="00460646" w:rsidRPr="004E47A5" w:rsidRDefault="00460646" w:rsidP="00B3691A">
      <w:pPr>
        <w:rPr>
          <w:b/>
          <w:bCs/>
          <w:color w:val="275317" w:themeColor="accent6" w:themeShade="80"/>
        </w:rPr>
      </w:pPr>
      <w:r w:rsidRPr="004E47A5">
        <w:rPr>
          <w:b/>
          <w:bCs/>
          <w:color w:val="275317" w:themeColor="accent6" w:themeShade="80"/>
        </w:rPr>
        <w:t xml:space="preserve">14. Additionally, there are two instances where figures and tables contain identical content, which </w:t>
      </w:r>
      <w:proofErr w:type="gramStart"/>
      <w:r w:rsidRPr="004E47A5">
        <w:rPr>
          <w:b/>
          <w:bCs/>
          <w:color w:val="275317" w:themeColor="accent6" w:themeShade="80"/>
        </w:rPr>
        <w:t>is</w:t>
      </w:r>
      <w:proofErr w:type="gramEnd"/>
      <w:r w:rsidRPr="004E47A5">
        <w:rPr>
          <w:b/>
          <w:bCs/>
          <w:color w:val="275317" w:themeColor="accent6" w:themeShade="80"/>
        </w:rPr>
        <w:t xml:space="preserve"> redundant and should be corrected. The content of Table 2 and Figure 5 is identical; Figure 5 should be removed. Similarly, the content of Table 3 and Figure 7 is identical; Figure 7 should be removed.</w:t>
      </w:r>
      <w:r w:rsidR="00A86B28">
        <w:rPr>
          <w:b/>
          <w:bCs/>
          <w:color w:val="275317" w:themeColor="accent6" w:themeShade="80"/>
        </w:rPr>
        <w:t xml:space="preserve"> </w:t>
      </w:r>
    </w:p>
    <w:p w14:paraId="0F08A7D7" w14:textId="77777777" w:rsidR="00F56D43" w:rsidRPr="00F56D43" w:rsidRDefault="004E47A5" w:rsidP="00F56D43">
      <w:r w:rsidRPr="004E47A5">
        <w:rPr>
          <w:b/>
          <w:bCs/>
        </w:rPr>
        <w:t>Author Response:</w:t>
      </w:r>
      <w:r>
        <w:t xml:space="preserve"> </w:t>
      </w:r>
      <w:r w:rsidR="00F56D43" w:rsidRPr="00F56D43">
        <w:t>We thank the reviewer for this helpful observation. Upon careful review, we confirmed that Figures 5 and 7 duplicated the numerical content already presented in Tables 2 and 3, respectively. To improve clarity and conciseness, both figures have been removed, and figure numbering and corresponding in-text references have been updated throughout the manuscript. The revised layout now retains the tables as the definitive quantitative reference, eliminating redundancy while preserving the visual and statistical integrity of the Results section.</w:t>
      </w:r>
    </w:p>
    <w:p w14:paraId="1F133009" w14:textId="1680BCE0" w:rsidR="004E47A5" w:rsidRDefault="00F56D43" w:rsidP="00B3691A">
      <w:r w:rsidRPr="00F56D43">
        <w:t>We also verified consistency between all figure and table values, ensuring that percentage values are correctly reported across the manuscript. These refinements enhance readability and maintain alignment with the journal’s formatting and data presentation standards.</w:t>
      </w:r>
    </w:p>
    <w:p w14:paraId="23984F9B" w14:textId="55792A20" w:rsidR="003420D7" w:rsidRPr="007F37C2" w:rsidRDefault="003420D7" w:rsidP="003420D7">
      <w:pPr>
        <w:rPr>
          <w:b/>
          <w:bCs/>
          <w:color w:val="275317" w:themeColor="accent6" w:themeShade="80"/>
        </w:rPr>
      </w:pPr>
      <w:r w:rsidRPr="007F37C2">
        <w:rPr>
          <w:b/>
          <w:bCs/>
          <w:color w:val="275317" w:themeColor="accent6" w:themeShade="80"/>
        </w:rPr>
        <w:t>15</w:t>
      </w:r>
      <w:r w:rsidRPr="003420D7">
        <w:rPr>
          <w:b/>
          <w:bCs/>
          <w:color w:val="275317" w:themeColor="accent6" w:themeShade="80"/>
        </w:rPr>
        <w:t xml:space="preserve">. Line 340 </w:t>
      </w:r>
      <w:r w:rsidRPr="007F37C2">
        <w:rPr>
          <w:b/>
          <w:bCs/>
          <w:color w:val="275317" w:themeColor="accent6" w:themeShade="80"/>
        </w:rPr>
        <w:t>How did you analyze the importance of the ions?</w:t>
      </w:r>
    </w:p>
    <w:p w14:paraId="6B41221E" w14:textId="77777777" w:rsidR="00BC0006" w:rsidRPr="00BC0006" w:rsidRDefault="00BC0006" w:rsidP="00BC0006">
      <w:pPr>
        <w:rPr>
          <w:rFonts w:eastAsia="Times New Roman" w:cs="Times New Roman"/>
          <w:b/>
          <w:bCs/>
          <w:kern w:val="0"/>
          <w14:ligatures w14:val="none"/>
        </w:rPr>
      </w:pPr>
      <w:r w:rsidRPr="00BC0006">
        <w:rPr>
          <w:rFonts w:eastAsia="Times New Roman" w:cs="Times New Roman"/>
          <w:b/>
          <w:bCs/>
          <w:kern w:val="0"/>
          <w14:ligatures w14:val="none"/>
        </w:rPr>
        <w:t>Author Response — Reviewer #1, Comment #15 (Ion importance analysis)</w:t>
      </w:r>
    </w:p>
    <w:p w14:paraId="3CC6DB0D" w14:textId="77777777" w:rsidR="00BC0006" w:rsidRPr="00BC0006" w:rsidRDefault="00BC0006" w:rsidP="00BC0006">
      <w:pPr>
        <w:rPr>
          <w:rFonts w:eastAsia="Times New Roman" w:cs="Times New Roman"/>
          <w:kern w:val="0"/>
          <w14:ligatures w14:val="none"/>
        </w:rPr>
      </w:pPr>
      <w:r w:rsidRPr="00BC0006">
        <w:rPr>
          <w:rFonts w:eastAsia="Times New Roman" w:cs="Times New Roman"/>
          <w:kern w:val="0"/>
          <w14:ligatures w14:val="none"/>
        </w:rPr>
        <w:t>We thank the reviewer for this valuable comment. We have clarified in the revised manuscript how ion (feature) importance was quantified and compared across models. For the Support Vector Machine (SVM) and Self-Training SVM classifiers, ion importance was computed as the absolute magnitude of each model coefficient (|w</w:t>
      </w:r>
      <w:r w:rsidRPr="00BC0006">
        <w:rPr>
          <w:rFonts w:ascii="Arial" w:eastAsia="Times New Roman" w:hAnsi="Arial" w:cs="Arial"/>
          <w:kern w:val="0"/>
          <w14:ligatures w14:val="none"/>
        </w:rPr>
        <w:t>ᵢ</w:t>
      </w:r>
      <w:r w:rsidRPr="00BC0006">
        <w:rPr>
          <w:rFonts w:eastAsia="Times New Roman" w:cs="Times New Roman"/>
          <w:kern w:val="0"/>
          <w14:ligatures w14:val="none"/>
        </w:rPr>
        <w:t>|), representing the relative contribution of each m/z feature to class separation. For the nonlinear Stacked Autoencoder and Mean-Teacher Autoencoder models, we employed permutation importance, in which individual m/z channels were randomly permuted and the resulting decrease in classification accuracy quantified each feature’s influence.</w:t>
      </w:r>
    </w:p>
    <w:p w14:paraId="61F499AA" w14:textId="2DDD38F6" w:rsidR="00265A32" w:rsidRPr="009913AD" w:rsidRDefault="00BC0006" w:rsidP="00695ED2">
      <w:pPr>
        <w:rPr>
          <w:rFonts w:eastAsia="Times New Roman" w:cs="Times New Roman"/>
          <w:kern w:val="0"/>
          <w14:ligatures w14:val="none"/>
        </w:rPr>
      </w:pPr>
      <w:r w:rsidRPr="00BC0006">
        <w:rPr>
          <w:rFonts w:eastAsia="Times New Roman" w:cs="Times New Roman"/>
          <w:kern w:val="0"/>
          <w14:ligatures w14:val="none"/>
        </w:rPr>
        <w:t xml:space="preserve">Feature-importance rankings were averaged over three independent training runs to ensure statistical stability. The ions reported in the manuscript (−16, −24, −26, −43, −60, and −76 m/z) consistently appeared among the top-ranked features across all four model architectures, confirming their robust diagnostic role in differentiating feldspar species. </w:t>
      </w:r>
      <w:r w:rsidRPr="00BC0006">
        <w:rPr>
          <w:rFonts w:eastAsia="Times New Roman" w:cs="Times New Roman"/>
          <w:kern w:val="0"/>
          <w14:ligatures w14:val="none"/>
        </w:rPr>
        <w:lastRenderedPageBreak/>
        <w:t xml:space="preserve">We have now included this methodological clarification in the Data and Methods section and added Table </w:t>
      </w:r>
      <w:r>
        <w:rPr>
          <w:rFonts w:eastAsia="Times New Roman" w:cs="Times New Roman"/>
          <w:kern w:val="0"/>
          <w14:ligatures w14:val="none"/>
        </w:rPr>
        <w:t>A5</w:t>
      </w:r>
      <w:r w:rsidRPr="00BC0006">
        <w:rPr>
          <w:rFonts w:eastAsia="Times New Roman" w:cs="Times New Roman"/>
          <w:kern w:val="0"/>
          <w14:ligatures w14:val="none"/>
        </w:rPr>
        <w:t xml:space="preserve"> in the Supplementary Material to document the top ten ions ranked by normalized importance across models. These additions enhance transparency and reproducibility of the feature-attribution analysis.</w:t>
      </w:r>
    </w:p>
    <w:p w14:paraId="4C05D2FA" w14:textId="61ED7937" w:rsidR="00DE0146" w:rsidRPr="00A52072" w:rsidRDefault="00DF1929" w:rsidP="00C61279">
      <w:pPr>
        <w:rPr>
          <w:b/>
          <w:bCs/>
          <w:color w:val="275317" w:themeColor="accent6" w:themeShade="80"/>
        </w:rPr>
      </w:pPr>
      <w:r w:rsidRPr="005A6F99">
        <w:rPr>
          <w:b/>
          <w:bCs/>
          <w:color w:val="275317" w:themeColor="accent6" w:themeShade="80"/>
        </w:rPr>
        <w:t xml:space="preserve">16. </w:t>
      </w:r>
      <w:r w:rsidR="00C61279" w:rsidRPr="005A6F99">
        <w:rPr>
          <w:b/>
          <w:bCs/>
          <w:color w:val="275317" w:themeColor="accent6" w:themeShade="80"/>
        </w:rPr>
        <w:t xml:space="preserve">Line 346 – 358, Error analysis </w:t>
      </w:r>
      <w:proofErr w:type="gramStart"/>
      <w:r w:rsidR="00C61279" w:rsidRPr="005A6F99">
        <w:rPr>
          <w:b/>
          <w:bCs/>
          <w:color w:val="275317" w:themeColor="accent6" w:themeShade="80"/>
        </w:rPr>
        <w:t>need</w:t>
      </w:r>
      <w:proofErr w:type="gramEnd"/>
      <w:r w:rsidR="00C61279" w:rsidRPr="005A6F99">
        <w:rPr>
          <w:b/>
          <w:bCs/>
          <w:color w:val="275317" w:themeColor="accent6" w:themeShade="80"/>
        </w:rPr>
        <w:t xml:space="preserve"> some mass spectra as example.</w:t>
      </w:r>
    </w:p>
    <w:p w14:paraId="65BB0CA7" w14:textId="77777777" w:rsidR="00250790" w:rsidRPr="00250790" w:rsidRDefault="00250790" w:rsidP="00250790">
      <w:r w:rsidRPr="00250790">
        <w:rPr>
          <w:b/>
          <w:bCs/>
        </w:rPr>
        <w:t>Author Response:</w:t>
      </w:r>
      <w:r w:rsidRPr="00250790">
        <w:br/>
        <w:t xml:space="preserve">We agree with the reviewer that visualization of actual SPMS spectra is essential for demonstrating the basis of model successes and failures. We have therefore added a new Figure X (Error-analysis exemplars) in the main text and two supplementary figures (Figures </w:t>
      </w:r>
      <w:proofErr w:type="spellStart"/>
      <w:r w:rsidRPr="00250790">
        <w:t>Sx</w:t>
      </w:r>
      <w:proofErr w:type="spellEnd"/>
      <w:r w:rsidRPr="00250790">
        <w:t>–Sy) that display representative negative-ion single-particle spectra. These show (</w:t>
      </w:r>
      <w:proofErr w:type="spellStart"/>
      <w:r w:rsidRPr="00250790">
        <w:t>i</w:t>
      </w:r>
      <w:proofErr w:type="spellEnd"/>
      <w:r w:rsidRPr="00250790">
        <w:t>) correctly classified and (ii) misclassified examples drawn from feldspar species—particularly the Na ↔ K feldspar confusion domain and the coated-feldspar subclasses (</w:t>
      </w:r>
      <w:proofErr w:type="spellStart"/>
      <w:r w:rsidRPr="00250790">
        <w:t>cSA</w:t>
      </w:r>
      <w:proofErr w:type="spellEnd"/>
      <w:r w:rsidRPr="00250790">
        <w:t xml:space="preserve">, </w:t>
      </w:r>
      <w:proofErr w:type="spellStart"/>
      <w:r w:rsidRPr="00250790">
        <w:t>cSOA</w:t>
      </w:r>
      <w:proofErr w:type="spellEnd"/>
      <w:r w:rsidRPr="00250790">
        <w:t xml:space="preserve">)—which are the primary sources of error identified in Section </w:t>
      </w:r>
      <w:proofErr w:type="gramStart"/>
      <w:r w:rsidRPr="00250790">
        <w:t>3.3</w:t>
      </w:r>
      <w:proofErr w:type="gramEnd"/>
      <w:r w:rsidRPr="00250790">
        <w:t>.</w:t>
      </w:r>
    </w:p>
    <w:p w14:paraId="53E1419A" w14:textId="77777777" w:rsidR="00250790" w:rsidRPr="00250790" w:rsidRDefault="00250790" w:rsidP="00250790">
      <w:r w:rsidRPr="00250790">
        <w:t xml:space="preserve">Each spectrum is unit-normalized, annotated with top-ranked influential ions (–16 to –115 m/z) derived from the cross-model importance analysis (Fig. 8; Table A5), and accompanied by ground-truth (GT) and predicted (Pred) labels, model index, prediction confidence, and top-k ions. Spectra were selected objectively (median latent-space exemplars for correct classifications; nearest-neighbor misclassifications for errors). Additional examples are provided in Figures </w:t>
      </w:r>
      <w:proofErr w:type="spellStart"/>
      <w:r w:rsidRPr="00250790">
        <w:t>Sx</w:t>
      </w:r>
      <w:proofErr w:type="spellEnd"/>
      <w:r w:rsidRPr="00250790">
        <w:t>–Sy (Supplement). These additions render the error analysis concrete, reproducible, and visually interpretable.</w:t>
      </w:r>
    </w:p>
    <w:p w14:paraId="0AD8C82A" w14:textId="77777777" w:rsidR="0058143D" w:rsidRPr="00C61279" w:rsidRDefault="0058143D" w:rsidP="00D71829"/>
    <w:sectPr w:rsidR="0058143D" w:rsidRPr="00C612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50425"/>
    <w:multiLevelType w:val="multilevel"/>
    <w:tmpl w:val="52A8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E64DF"/>
    <w:multiLevelType w:val="multilevel"/>
    <w:tmpl w:val="1B865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12EE4"/>
    <w:multiLevelType w:val="multilevel"/>
    <w:tmpl w:val="3DCC2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285B73"/>
    <w:multiLevelType w:val="multilevel"/>
    <w:tmpl w:val="04E8AC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773963"/>
    <w:multiLevelType w:val="multilevel"/>
    <w:tmpl w:val="B130F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50375"/>
    <w:multiLevelType w:val="multilevel"/>
    <w:tmpl w:val="AC5CE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EA32E5"/>
    <w:multiLevelType w:val="multilevel"/>
    <w:tmpl w:val="8AF8F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795422A"/>
    <w:multiLevelType w:val="multilevel"/>
    <w:tmpl w:val="F4D41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EE6D1D"/>
    <w:multiLevelType w:val="multilevel"/>
    <w:tmpl w:val="84D2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72F5A"/>
    <w:multiLevelType w:val="multilevel"/>
    <w:tmpl w:val="8A4AA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9967B5"/>
    <w:multiLevelType w:val="multilevel"/>
    <w:tmpl w:val="8C0E8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702210"/>
    <w:multiLevelType w:val="multilevel"/>
    <w:tmpl w:val="DBE20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4C2847"/>
    <w:multiLevelType w:val="multilevel"/>
    <w:tmpl w:val="AEB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8F11D1"/>
    <w:multiLevelType w:val="multilevel"/>
    <w:tmpl w:val="4022C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FC57BD"/>
    <w:multiLevelType w:val="multilevel"/>
    <w:tmpl w:val="521C64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2A6358C"/>
    <w:multiLevelType w:val="multilevel"/>
    <w:tmpl w:val="F5EC10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A9C2278"/>
    <w:multiLevelType w:val="multilevel"/>
    <w:tmpl w:val="25605C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434AF2"/>
    <w:multiLevelType w:val="multilevel"/>
    <w:tmpl w:val="B85C4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D758F9"/>
    <w:multiLevelType w:val="multilevel"/>
    <w:tmpl w:val="FCA8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9263ED"/>
    <w:multiLevelType w:val="multilevel"/>
    <w:tmpl w:val="9778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B40F2E"/>
    <w:multiLevelType w:val="multilevel"/>
    <w:tmpl w:val="3016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4A6539"/>
    <w:multiLevelType w:val="multilevel"/>
    <w:tmpl w:val="0324E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535536"/>
    <w:multiLevelType w:val="multilevel"/>
    <w:tmpl w:val="A4E09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5A09BA"/>
    <w:multiLevelType w:val="multilevel"/>
    <w:tmpl w:val="98881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116584C"/>
    <w:multiLevelType w:val="multilevel"/>
    <w:tmpl w:val="28AA7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960694"/>
    <w:multiLevelType w:val="multilevel"/>
    <w:tmpl w:val="15C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D564EB"/>
    <w:multiLevelType w:val="multilevel"/>
    <w:tmpl w:val="8F04F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64C42BD"/>
    <w:multiLevelType w:val="hybridMultilevel"/>
    <w:tmpl w:val="6952E372"/>
    <w:lvl w:ilvl="0" w:tplc="D114AD5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8" w15:restartNumberingAfterBreak="0">
    <w:nsid w:val="70525A49"/>
    <w:multiLevelType w:val="multilevel"/>
    <w:tmpl w:val="CFBE3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8B058AB"/>
    <w:multiLevelType w:val="multilevel"/>
    <w:tmpl w:val="A1D63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0384033">
    <w:abstractNumId w:val="8"/>
  </w:num>
  <w:num w:numId="2" w16cid:durableId="642853091">
    <w:abstractNumId w:val="23"/>
  </w:num>
  <w:num w:numId="3" w16cid:durableId="1986737124">
    <w:abstractNumId w:val="27"/>
  </w:num>
  <w:num w:numId="4" w16cid:durableId="1554149364">
    <w:abstractNumId w:val="28"/>
  </w:num>
  <w:num w:numId="5" w16cid:durableId="769130592">
    <w:abstractNumId w:val="16"/>
  </w:num>
  <w:num w:numId="6" w16cid:durableId="622540570">
    <w:abstractNumId w:val="5"/>
  </w:num>
  <w:num w:numId="7" w16cid:durableId="292909817">
    <w:abstractNumId w:val="14"/>
  </w:num>
  <w:num w:numId="8" w16cid:durableId="1431127117">
    <w:abstractNumId w:val="1"/>
  </w:num>
  <w:num w:numId="9" w16cid:durableId="2001420662">
    <w:abstractNumId w:val="3"/>
  </w:num>
  <w:num w:numId="10" w16cid:durableId="1226113334">
    <w:abstractNumId w:val="4"/>
  </w:num>
  <w:num w:numId="11" w16cid:durableId="484856473">
    <w:abstractNumId w:val="13"/>
  </w:num>
  <w:num w:numId="12" w16cid:durableId="804783406">
    <w:abstractNumId w:val="24"/>
  </w:num>
  <w:num w:numId="13" w16cid:durableId="728040218">
    <w:abstractNumId w:val="7"/>
  </w:num>
  <w:num w:numId="14" w16cid:durableId="2130279165">
    <w:abstractNumId w:val="11"/>
  </w:num>
  <w:num w:numId="15" w16cid:durableId="1331832811">
    <w:abstractNumId w:val="0"/>
  </w:num>
  <w:num w:numId="16" w16cid:durableId="593132154">
    <w:abstractNumId w:val="25"/>
  </w:num>
  <w:num w:numId="17" w16cid:durableId="489322682">
    <w:abstractNumId w:val="29"/>
  </w:num>
  <w:num w:numId="18" w16cid:durableId="264509228">
    <w:abstractNumId w:val="19"/>
  </w:num>
  <w:num w:numId="19" w16cid:durableId="1960991413">
    <w:abstractNumId w:val="17"/>
  </w:num>
  <w:num w:numId="20" w16cid:durableId="2092043443">
    <w:abstractNumId w:val="20"/>
  </w:num>
  <w:num w:numId="21" w16cid:durableId="773014270">
    <w:abstractNumId w:val="22"/>
  </w:num>
  <w:num w:numId="22" w16cid:durableId="34277774">
    <w:abstractNumId w:val="18"/>
  </w:num>
  <w:num w:numId="23" w16cid:durableId="1046174811">
    <w:abstractNumId w:val="10"/>
  </w:num>
  <w:num w:numId="24" w16cid:durableId="429741179">
    <w:abstractNumId w:val="6"/>
  </w:num>
  <w:num w:numId="25" w16cid:durableId="2105489643">
    <w:abstractNumId w:val="15"/>
  </w:num>
  <w:num w:numId="26" w16cid:durableId="607856590">
    <w:abstractNumId w:val="26"/>
  </w:num>
  <w:num w:numId="27" w16cid:durableId="1162813541">
    <w:abstractNumId w:val="21"/>
  </w:num>
  <w:num w:numId="28" w16cid:durableId="672531733">
    <w:abstractNumId w:val="12"/>
  </w:num>
  <w:num w:numId="29" w16cid:durableId="781464190">
    <w:abstractNumId w:val="9"/>
  </w:num>
  <w:num w:numId="30" w16cid:durableId="12053708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780"/>
    <w:rsid w:val="000136F0"/>
    <w:rsid w:val="000218CF"/>
    <w:rsid w:val="00026D95"/>
    <w:rsid w:val="00047EDD"/>
    <w:rsid w:val="00052BC3"/>
    <w:rsid w:val="00095C20"/>
    <w:rsid w:val="000A3D7C"/>
    <w:rsid w:val="000B3854"/>
    <w:rsid w:val="000C39F4"/>
    <w:rsid w:val="000E7C1A"/>
    <w:rsid w:val="001042F6"/>
    <w:rsid w:val="00106660"/>
    <w:rsid w:val="00106F25"/>
    <w:rsid w:val="00107325"/>
    <w:rsid w:val="00143563"/>
    <w:rsid w:val="001A57B8"/>
    <w:rsid w:val="001B2942"/>
    <w:rsid w:val="001D75AA"/>
    <w:rsid w:val="001E11AB"/>
    <w:rsid w:val="001E5904"/>
    <w:rsid w:val="00205201"/>
    <w:rsid w:val="00232D75"/>
    <w:rsid w:val="002419D0"/>
    <w:rsid w:val="0024551B"/>
    <w:rsid w:val="00246575"/>
    <w:rsid w:val="00246CD0"/>
    <w:rsid w:val="00250790"/>
    <w:rsid w:val="00265A32"/>
    <w:rsid w:val="00274A3D"/>
    <w:rsid w:val="002B2FFA"/>
    <w:rsid w:val="002B36A5"/>
    <w:rsid w:val="0030047D"/>
    <w:rsid w:val="00337FA7"/>
    <w:rsid w:val="003420D7"/>
    <w:rsid w:val="003804AF"/>
    <w:rsid w:val="0038311B"/>
    <w:rsid w:val="0039154F"/>
    <w:rsid w:val="00395792"/>
    <w:rsid w:val="00396557"/>
    <w:rsid w:val="003F0B2F"/>
    <w:rsid w:val="004113AA"/>
    <w:rsid w:val="004234E0"/>
    <w:rsid w:val="004324B6"/>
    <w:rsid w:val="004359F6"/>
    <w:rsid w:val="00451F38"/>
    <w:rsid w:val="00460646"/>
    <w:rsid w:val="00462D53"/>
    <w:rsid w:val="004632D2"/>
    <w:rsid w:val="00494E7D"/>
    <w:rsid w:val="004E47A5"/>
    <w:rsid w:val="004F251C"/>
    <w:rsid w:val="00511C1B"/>
    <w:rsid w:val="005128C8"/>
    <w:rsid w:val="00516597"/>
    <w:rsid w:val="00541731"/>
    <w:rsid w:val="00557FDB"/>
    <w:rsid w:val="0058143D"/>
    <w:rsid w:val="00586EFE"/>
    <w:rsid w:val="0059046A"/>
    <w:rsid w:val="00590536"/>
    <w:rsid w:val="005961B1"/>
    <w:rsid w:val="005A034F"/>
    <w:rsid w:val="005A6F99"/>
    <w:rsid w:val="006024CD"/>
    <w:rsid w:val="006117CD"/>
    <w:rsid w:val="00617402"/>
    <w:rsid w:val="0069214F"/>
    <w:rsid w:val="00694780"/>
    <w:rsid w:val="00695ED2"/>
    <w:rsid w:val="006A298D"/>
    <w:rsid w:val="006E040E"/>
    <w:rsid w:val="006F0329"/>
    <w:rsid w:val="006F4253"/>
    <w:rsid w:val="006F5BDC"/>
    <w:rsid w:val="00721C24"/>
    <w:rsid w:val="00776133"/>
    <w:rsid w:val="0078142C"/>
    <w:rsid w:val="007911FB"/>
    <w:rsid w:val="007B3694"/>
    <w:rsid w:val="007D1AFC"/>
    <w:rsid w:val="007E1A7E"/>
    <w:rsid w:val="007F37C2"/>
    <w:rsid w:val="007F6CEB"/>
    <w:rsid w:val="008005EB"/>
    <w:rsid w:val="00885299"/>
    <w:rsid w:val="008A12DC"/>
    <w:rsid w:val="008C4247"/>
    <w:rsid w:val="008C5389"/>
    <w:rsid w:val="008F2F3B"/>
    <w:rsid w:val="0090251E"/>
    <w:rsid w:val="00904AF3"/>
    <w:rsid w:val="00911995"/>
    <w:rsid w:val="00927592"/>
    <w:rsid w:val="00963356"/>
    <w:rsid w:val="009913AD"/>
    <w:rsid w:val="009B0602"/>
    <w:rsid w:val="009B2F06"/>
    <w:rsid w:val="009B4BBD"/>
    <w:rsid w:val="009D041C"/>
    <w:rsid w:val="009D08C9"/>
    <w:rsid w:val="009D1C33"/>
    <w:rsid w:val="009F7ECE"/>
    <w:rsid w:val="00A12F7A"/>
    <w:rsid w:val="00A13FC3"/>
    <w:rsid w:val="00A42D96"/>
    <w:rsid w:val="00A52072"/>
    <w:rsid w:val="00A54A50"/>
    <w:rsid w:val="00A60026"/>
    <w:rsid w:val="00A853C4"/>
    <w:rsid w:val="00A86B28"/>
    <w:rsid w:val="00A9629C"/>
    <w:rsid w:val="00AA5FF9"/>
    <w:rsid w:val="00AC4223"/>
    <w:rsid w:val="00AD0593"/>
    <w:rsid w:val="00AD5146"/>
    <w:rsid w:val="00AF3DD2"/>
    <w:rsid w:val="00B30A68"/>
    <w:rsid w:val="00B3691A"/>
    <w:rsid w:val="00B50269"/>
    <w:rsid w:val="00B66D45"/>
    <w:rsid w:val="00B67CBA"/>
    <w:rsid w:val="00B83224"/>
    <w:rsid w:val="00B84266"/>
    <w:rsid w:val="00B933A0"/>
    <w:rsid w:val="00BA39FB"/>
    <w:rsid w:val="00BC0006"/>
    <w:rsid w:val="00BD4DEC"/>
    <w:rsid w:val="00BE0079"/>
    <w:rsid w:val="00BE0E6A"/>
    <w:rsid w:val="00C0325D"/>
    <w:rsid w:val="00C372CE"/>
    <w:rsid w:val="00C61279"/>
    <w:rsid w:val="00CA0D35"/>
    <w:rsid w:val="00CB40FC"/>
    <w:rsid w:val="00CB57EA"/>
    <w:rsid w:val="00D70971"/>
    <w:rsid w:val="00D71829"/>
    <w:rsid w:val="00D73398"/>
    <w:rsid w:val="00D97651"/>
    <w:rsid w:val="00DB71B3"/>
    <w:rsid w:val="00DC1AB5"/>
    <w:rsid w:val="00DE0146"/>
    <w:rsid w:val="00DE167C"/>
    <w:rsid w:val="00DE2CE3"/>
    <w:rsid w:val="00DF1929"/>
    <w:rsid w:val="00E23149"/>
    <w:rsid w:val="00E32ED3"/>
    <w:rsid w:val="00E70CED"/>
    <w:rsid w:val="00E748CF"/>
    <w:rsid w:val="00E77D73"/>
    <w:rsid w:val="00EC65C5"/>
    <w:rsid w:val="00ED2BA9"/>
    <w:rsid w:val="00F11C26"/>
    <w:rsid w:val="00F17955"/>
    <w:rsid w:val="00F34807"/>
    <w:rsid w:val="00F5552B"/>
    <w:rsid w:val="00F56D43"/>
    <w:rsid w:val="00F60387"/>
    <w:rsid w:val="00F6167C"/>
    <w:rsid w:val="00F67709"/>
    <w:rsid w:val="00F6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BE697"/>
  <w15:chartTrackingRefBased/>
  <w15:docId w15:val="{FFBC66D4-F4E5-4780-B111-0D6F4969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478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478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478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478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478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478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478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478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478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78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478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478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478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478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478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478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478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4780"/>
    <w:rPr>
      <w:rFonts w:eastAsiaTheme="majorEastAsia" w:cstheme="majorBidi"/>
      <w:color w:val="272727" w:themeColor="text1" w:themeTint="D8"/>
    </w:rPr>
  </w:style>
  <w:style w:type="paragraph" w:styleId="Title">
    <w:name w:val="Title"/>
    <w:basedOn w:val="Normal"/>
    <w:next w:val="Normal"/>
    <w:link w:val="TitleChar"/>
    <w:uiPriority w:val="10"/>
    <w:qFormat/>
    <w:rsid w:val="0069478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478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478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478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4780"/>
    <w:pPr>
      <w:spacing w:before="160"/>
      <w:jc w:val="center"/>
    </w:pPr>
    <w:rPr>
      <w:i/>
      <w:iCs/>
      <w:color w:val="404040" w:themeColor="text1" w:themeTint="BF"/>
    </w:rPr>
  </w:style>
  <w:style w:type="character" w:customStyle="1" w:styleId="QuoteChar">
    <w:name w:val="Quote Char"/>
    <w:basedOn w:val="DefaultParagraphFont"/>
    <w:link w:val="Quote"/>
    <w:uiPriority w:val="29"/>
    <w:rsid w:val="00694780"/>
    <w:rPr>
      <w:i/>
      <w:iCs/>
      <w:color w:val="404040" w:themeColor="text1" w:themeTint="BF"/>
    </w:rPr>
  </w:style>
  <w:style w:type="paragraph" w:styleId="ListParagraph">
    <w:name w:val="List Paragraph"/>
    <w:basedOn w:val="Normal"/>
    <w:uiPriority w:val="34"/>
    <w:qFormat/>
    <w:rsid w:val="00694780"/>
    <w:pPr>
      <w:ind w:left="720"/>
      <w:contextualSpacing/>
    </w:pPr>
  </w:style>
  <w:style w:type="character" w:styleId="IntenseEmphasis">
    <w:name w:val="Intense Emphasis"/>
    <w:basedOn w:val="DefaultParagraphFont"/>
    <w:uiPriority w:val="21"/>
    <w:qFormat/>
    <w:rsid w:val="00694780"/>
    <w:rPr>
      <w:i/>
      <w:iCs/>
      <w:color w:val="0F4761" w:themeColor="accent1" w:themeShade="BF"/>
    </w:rPr>
  </w:style>
  <w:style w:type="paragraph" w:styleId="IntenseQuote">
    <w:name w:val="Intense Quote"/>
    <w:basedOn w:val="Normal"/>
    <w:next w:val="Normal"/>
    <w:link w:val="IntenseQuoteChar"/>
    <w:uiPriority w:val="30"/>
    <w:qFormat/>
    <w:rsid w:val="0069478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4780"/>
    <w:rPr>
      <w:i/>
      <w:iCs/>
      <w:color w:val="0F4761" w:themeColor="accent1" w:themeShade="BF"/>
    </w:rPr>
  </w:style>
  <w:style w:type="character" w:styleId="IntenseReference">
    <w:name w:val="Intense Reference"/>
    <w:basedOn w:val="DefaultParagraphFont"/>
    <w:uiPriority w:val="32"/>
    <w:qFormat/>
    <w:rsid w:val="00694780"/>
    <w:rPr>
      <w:b/>
      <w:bCs/>
      <w:smallCaps/>
      <w:color w:val="0F4761" w:themeColor="accent1" w:themeShade="BF"/>
      <w:spacing w:val="5"/>
    </w:rPr>
  </w:style>
  <w:style w:type="paragraph" w:styleId="NormalWeb">
    <w:name w:val="Normal (Web)"/>
    <w:basedOn w:val="Normal"/>
    <w:uiPriority w:val="99"/>
    <w:semiHidden/>
    <w:unhideWhenUsed/>
    <w:rsid w:val="0010732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14</Pages>
  <Words>4970</Words>
  <Characters>29962</Characters>
  <Application>Microsoft Office Word</Application>
  <DocSecurity>0</DocSecurity>
  <Lines>460</Lines>
  <Paragraphs>110</Paragraphs>
  <ScaleCrop>false</ScaleCrop>
  <Company/>
  <LinksUpToDate>false</LinksUpToDate>
  <CharactersWithSpaces>34817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Boxe</dc:creator>
  <cp:keywords/>
  <dc:description/>
  <cp:lastModifiedBy>Christopher Boxe</cp:lastModifiedBy>
  <cp:revision>153</cp:revision>
  <dcterms:created xsi:type="dcterms:W3CDTF">2025-10-08T19:44:00Z</dcterms:created>
  <dcterms:modified xsi:type="dcterms:W3CDTF">2025-11-06T20:06:00Z</dcterms:modified>
</cp:coreProperties>
</file>